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.png" ContentType="image/png"/>
  <Override PartName="/word/media/rId23.png" ContentType="image/png"/>
  <Override PartName="/word/media/rId55.png" ContentType="image/png"/>
  <Override PartName="/word/media/rId26.png" ContentType="image/png"/>
  <Override PartName="/word/media/rId31.png" ContentType="image/png"/>
  <Override PartName="/word/media/rId37.png" ContentType="image/png"/>
  <Override PartName="/word/media/rId50.png" ContentType="image/png"/>
  <Override PartName="/word/media/rId59.png" ContentType="image/png"/>
  <Override PartName="/word/media/rId68.png" ContentType="image/png"/>
  <Override PartName="/word/media/rId112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161.png" ContentType="image/png"/>
  <Override PartName="/word/media/rId171.png" ContentType="image/png"/>
  <Override PartName="/word/media/rId185.png" ContentType="image/png"/>
  <Override PartName="/word/media/rId195.png" ContentType="image/png"/>
  <Override PartName="/word/media/rId250.png" ContentType="image/png"/>
  <Override PartName="/word/media/rId261.png" ContentType="image/png"/>
  <Override PartName="/word/media/rId78.png" ContentType="image/png"/>
  <Override PartName="/word/media/rId84.png" ContentType="image/png"/>
  <Override PartName="/word/media/rId95.png" ContentType="image/png"/>
  <Override PartName="/word/media/rId98.png" ContentType="image/png"/>
  <Override PartName="/word/media/rId222.png" ContentType="image/png"/>
  <Override PartName="/word/media/rId226.png" ContentType="image/png"/>
  <Override PartName="/word/media/rId2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shady vs. sunny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A themes file you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once</w:t>
            </w:r>
            <w:r>
              <w:t xml:space="preserve"> </w:t>
            </w:r>
            <w:r>
              <w:t xml:space="preserve">— publication-ready figures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many plots on one page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⏱ Histograms, density curves, faceting, and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are in the notes as time allows — the worksheet has them either way.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9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6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, Ch. 2 — Displaying Data, is the core reference for this whole lecture.</w:t>
            </w:r>
          </w:p>
          <w:p>
            <w:pPr>
              <w:pStyle w:val="BodyText"/>
            </w:pPr>
            <w:pPr>
              <w:spacing w:after="16"/>
            </w:pPr>
            <w:hyperlink r:id="rId21">
              <w:r>
                <w:rPr>
                  <w:rStyle w:val="Hyperlink"/>
                </w:rPr>
                <w:t xml:space="preserve">📖 R4DS §1 — Data visualization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graphing-effectively-02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9"/>
    <w:bookmarkStart w:id="30" w:name="part-2-boxplot-anatomy"/>
    <w:p>
      <w:pPr>
        <w:pStyle w:val="Heading2"/>
      </w:pPr>
      <w:r>
        <w:t xml:space="preserve">Part 2 · Boxplot Anatomy</w:t>
      </w:r>
    </w:p>
    <w:bookmarkEnd w:id="30"/>
    <w:bookmarkStart w:id="34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Whitlock &amp; Schluter, Ch. 2 — Displaying Data, on the boxplot and the five-number summary it draws.</w:t>
      </w:r>
    </w:p>
    <w:p>
      <w:pPr>
        <w:pStyle w:val="BodyText"/>
      </w:pPr>
      <w:hyperlink r:id="rId22">
        <w:r>
          <w:rPr>
            <w:rStyle w:val="Hyperlink"/>
          </w:rPr>
          <w:t xml:space="preserve">📖 R4DS §9 — Layers</w:t>
        </w:r>
      </w:hyperlink>
    </w:p>
    <w:bookmarkEnd w:id="34"/>
    <w:bookmarkStart w:id="44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8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4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</w:t>
            </w:r>
            <w:r>
              <w:t xml:space="preserve"> </w:t>
            </w:r>
            <w:r>
              <w:t xml:space="preserve">“How to draw a good graph,”</w:t>
            </w:r>
            <w:r>
              <w:t xml:space="preserve"> </w:t>
            </w:r>
            <w:r>
              <w:t xml:space="preserve">makes exactly this argument: show the data, not only the summary.</w:t>
            </w:r>
          </w:p>
          <w:p/>
        </w:tc>
      </w:tr>
    </w:tbl>
    <w:bookmarkEnd w:id="44"/>
    <w:bookmarkStart w:id="48" w:name="your-turn-code-it-now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1, 2 and 3</w:t>
            </w:r>
            <w:r>
              <w:t xml:space="preserve"> </w:t>
            </w:r>
            <w:r>
              <w:t xml:space="preserve">— load the data, build the boxplot, add the raw points.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48"/>
    <w:bookmarkStart w:id="49" w:name="X2f6a19edf12016c04edfa367fa80b44d7c46366"/>
    <w:p>
      <w:pPr>
        <w:pStyle w:val="Heading2"/>
      </w:pPr>
      <w:r>
        <w:t xml:space="preserve">Part 2b · Axis Labels and Titles, Done Right</w:t>
      </w:r>
    </w:p>
    <w:bookmarkEnd w:id="49"/>
    <w:bookmarkStart w:id="58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5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58"/>
    <w:bookmarkStart w:id="67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6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6">
              <w:r>
                <w:rPr>
                  <w:rStyle w:val="Hyperlink"/>
                </w:rPr>
                <w:t xml:space="preserve">📖 R4DS §11.1 — Labels</w:t>
              </w:r>
            </w:hyperlink>
          </w:p>
          <w:p/>
        </w:tc>
      </w:tr>
    </w:tbl>
    <w:bookmarkEnd w:id="67"/>
    <w:bookmarkStart w:id="73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matches aes(color = team)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73"/>
    <w:bookmarkStart w:id="76" w:name="your-turn-code-it-now-1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3b</w:t>
            </w:r>
            <w:r>
              <w:t xml:space="preserve"> </w:t>
            </w:r>
            <w:r>
              <w:t xml:space="preserve">— write real titles, axis labels, and a legend title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76"/>
    <w:bookmarkStart w:id="77" w:name="Xe406d8e7eea2f082ca9d572fdf70456e4f79e9f"/>
    <w:p>
      <w:pPr>
        <w:pStyle w:val="Heading2"/>
      </w:pPr>
      <w:r>
        <w:t xml:space="preserve">Part 2c · Setting the Axis Limits —</w:t>
      </w:r>
      <w:r>
        <w:t xml:space="preserve"> </w:t>
      </w:r>
      <w:r>
        <w:rPr>
          <w:rStyle w:val="VerbatimChar"/>
        </w:rPr>
        <w:t xml:space="preserve">coord_cartesian()</w:t>
      </w:r>
    </w:p>
    <w:bookmarkEnd w:id="77"/>
    <w:bookmarkStart w:id="83" w:name="X11e3291e9b411af51e39e218e04ccb3b7066169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Choosing What the Reader Sees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axis limits from your data. That is a fine default for exploring — and the wrong default the moment a reader has to judge</w:t>
      </w:r>
      <w:r>
        <w:t xml:space="preserve"> </w:t>
      </w:r>
      <w:r>
        <w:rPr>
          <w:i/>
          <w:iCs/>
        </w:rPr>
        <w:t xml:space="preserve">how big</w:t>
      </w:r>
      <w:r>
        <w:t xml:space="preserve"> </w:t>
      </w:r>
      <w:r>
        <w:t xml:space="preserve">a difference is.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coord_cartesian(ylim = c(0, 25))</w:t>
      </w:r>
      <w:r>
        <w:t xml:space="preserve"> </w:t>
      </w:r>
      <w:r>
        <w:t xml:space="preserve">— set the y-axis range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coord_cartesian(xlim = c(...))</w:t>
      </w:r>
      <w:r>
        <w:t xml:space="preserve"> </w:t>
      </w:r>
      <w:r>
        <w:t xml:space="preserve">— same for x</w:t>
      </w:r>
    </w:p>
    <w:p>
      <w:pPr>
        <w:pStyle w:val="Compact"/>
        <w:numPr>
          <w:ilvl w:val="0"/>
          <w:numId w:val="1006"/>
        </w:numPr>
      </w:pPr>
      <w:r>
        <w:t xml:space="preserve">Both at once:</w:t>
      </w:r>
      <w:r>
        <w:t xml:space="preserve"> </w:t>
      </w:r>
      <w:r>
        <w:rPr>
          <w:rStyle w:val="VerbatimChar"/>
        </w:rPr>
        <w:t xml:space="preserve">coord_cartesian(xlim = c(...), ylim = c(...))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Starting a measurement axis at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is what keeps a 1 mm difference from looking like a canyon. Decide the limits deliberately; don’t inherit them.</w:t>
            </w:r>
          </w:p>
          <w:p/>
        </w:tc>
      </w:tr>
    </w:tbl>
    <w:bookmarkEnd w:id="83"/>
    <w:bookmarkStart w:id="92" w:name="coord_cartesian-both-axes-at-once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Both Axes at Once</w:t>
      </w:r>
    </w:p>
    <w:p>
      <w:pPr>
        <w:pStyle w:val="SourceCode"/>
      </w:pP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pine_scatter_plot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2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continuous axes, so both</w:t>
            </w:r>
            <w:r>
              <w:t xml:space="preserve"> </w:t>
            </w:r>
            <w:r>
              <w:rPr>
                <w:rStyle w:val="VerbatimChar"/>
              </w:rPr>
              <w:t xml:space="preserve">xlim 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ylim =</w:t>
            </w:r>
            <w:r>
              <w:t xml:space="preserve"> </w:t>
            </w:r>
            <w:r>
              <w:t xml:space="preserve">are useful here. On the boxplot,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was a category — there is nothing to zoom.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</w:p>
          <w:p/>
        </w:tc>
      </w:tr>
    </w:tbl>
    <w:bookmarkEnd w:id="92"/>
    <w:bookmarkStart w:id="107" w:name="X0522761d741881b89fbe949aa3f69b38ed188de"/>
    <w:p>
      <w:pPr>
        <w:pStyle w:val="Heading2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Data,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Does Not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Both plots below ask for a y-axis running 14 to 16 mm. One of them changes where the boxes are drawn. Which one,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❌ ylim() THROWS AWAY every row outside the range first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redrawn from survivors"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3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✅ coord_cartesian() keeps every row and just crops the view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"coord_cartesian() — same boxes, zoomed"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4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the data before the geom draws it</w:t>
            </w:r>
            <w:r>
              <w:t xml:space="preserve">. Every needle outside 14–16 mm is silently dropped, and the median, the quartiles, and the whiskers are all recomputed from what is left. R warns about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and students read past it every time.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 camera. The boxes do not move.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zoom. Use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 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changing the axis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scale</w:t>
            </w:r>
            <w:r>
              <w:rPr>
                <w:b/>
                <w:bCs/>
              </w:rPr>
              <w:t xml:space="preserve">, not just its limits</w:t>
            </w:r>
          </w:p>
          <w:p>
            <w:pPr>
              <w:pStyle w:val="BodyText"/>
            </w:pPr>
            <w:r>
              <w:t xml:space="preserve">Right-skewed data (a few very large values squashing everything else into a corner) is usually better read on a log axis:</w:t>
            </w:r>
          </w:p>
          <w:p>
            <w:pPr>
              <w:pStyle w:val="SourceCode"/>
            </w:pP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     </w:t>
            </w:r>
            <w:r>
              <w:rPr>
                <w:rStyle w:val="CommentTok"/>
              </w:rPr>
              <w:t xml:space="preserve"># the AXIS is logged; the data are untouched</w:t>
            </w:r>
          </w:p>
          <w:p>
            <w:pPr>
              <w:pStyle w:val="FirstParagraph"/>
            </w:pPr>
            <w:r>
              <w:t xml:space="preserve">That is different again from logging the data itself with</w:t>
            </w:r>
            <w:r>
              <w:t xml:space="preserve"> </w:t>
            </w:r>
            <w:r>
              <w:rPr>
                <w:rStyle w:val="VerbatimChar"/>
              </w:rPr>
              <w:t xml:space="preserve">mutate(log_length = log(needle_length_mm))</w:t>
            </w:r>
            <w:r>
              <w:t xml:space="preserve">, which changes the numbers every later calculation sees.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today needs it — our needles are not skewed. Try it on your scatterplot if you are curious, and we will come back to it when a distribution actually calls for it.</w:t>
            </w:r>
          </w:p>
          <w:p/>
        </w:tc>
      </w:tr>
    </w:tbl>
    <w:bookmarkEnd w:id="107"/>
    <w:bookmarkStart w:id="110" w:name="your-turn-code-it-now-2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3c</w:t>
            </w:r>
            <w:r>
              <w:t xml:space="preserve"> </w:t>
            </w:r>
            <w:r>
              <w:t xml:space="preserve">— set your 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. The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trap stays on screen; you do not need to type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10"/>
    <w:bookmarkStart w:id="111" w:name="part-3-mapping-color-by-group"/>
    <w:p>
      <w:pPr>
        <w:pStyle w:val="Heading2"/>
      </w:pPr>
      <w:r>
        <w:t xml:space="preserve">Part 3 · Mapping Color by Group</w:t>
      </w:r>
    </w:p>
    <w:bookmarkEnd w:id="111"/>
    <w:bookmarkStart w:id="122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8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color = team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7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"darkblue"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where you put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aes()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matters too</w:t>
            </w:r>
          </w:p>
          <w:p>
            <w:pPr>
              <w:pStyle w:val="BodyText"/>
            </w:pPr>
            <w:r>
              <w:t xml:space="preserve">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global</w:t>
            </w:r>
            <w:r>
              <w:t xml:space="preserve">: every layer inherits it. 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 a single geom applies to</w:t>
            </w:r>
            <w:r>
              <w:t xml:space="preserve"> </w:t>
            </w:r>
            <w:r>
              <w:rPr>
                <w:b/>
                <w:bCs/>
              </w:rPr>
              <w:t xml:space="preserve">that layer only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global — both layers colored by side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per-layer — points colored by team, the mean drawn in plain black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team))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Just know it exists for now — we will lean on it later, when a plot has to show raw data and a fitted model at the same time.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21">
              <w:r>
                <w:rPr>
                  <w:rStyle w:val="Hyperlink"/>
                </w:rPr>
                <w:t xml:space="preserve">📖 R4DS §9.1 — Aesthetic mappings</w:t>
              </w:r>
            </w:hyperlink>
          </w:p>
          <w:p/>
        </w:tc>
      </w:tr>
    </w:tbl>
    <w:bookmarkEnd w:id="122"/>
    <w:bookmarkStart w:id="125" w:name="your-turn-code-it-now-3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</w:t>
            </w:r>
            <w:r>
              <w:t xml:space="preserve"> </w:t>
            </w:r>
            <w:r>
              <w:t xml:space="preserve">— map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fill =</w:t>
            </w:r>
            <w:r>
              <w:t xml:space="preserve"> </w:t>
            </w:r>
            <w:r>
              <w:t xml:space="preserve">to a third variable.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25"/>
    <w:bookmarkStart w:id="128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everything in this part is on the worksheet, so it is safe to work through on your own if we run short in class.</w:t>
            </w:r>
          </w:p>
          <w:p/>
        </w:tc>
      </w:tr>
    </w:tbl>
    <w:bookmarkEnd w:id="128"/>
    <w:bookmarkStart w:id="139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Describing Your Data we found the overall</w:t>
            </w:r>
            <w:r>
              <w:t xml:space="preserve"> </w:t>
            </w:r>
            <w:r>
              <w:rPr>
                <w:rStyle w:val="VerbatimChar"/>
              </w:rPr>
              <w:t xml:space="preserve">mean(needle_length_mm)</w:t>
            </w:r>
            <w:r>
              <w:t xml:space="preserve"> </w:t>
            </w:r>
            <w:r>
              <w:t xml:space="preserve">≈ 14.67 and the median ≈ 14.55 — nearly identical.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8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frequency distributions and choosing bin width.</w:t>
            </w:r>
          </w:p>
          <w:p>
            <w:pPr>
              <w:pStyle w:val="BodyText"/>
            </w:pPr>
            <w:pPr>
              <w:spacing w:after="16"/>
            </w:pPr>
            <w:hyperlink r:id="rId138">
              <w:r>
                <w:rPr>
                  <w:rStyle w:val="Hyperlink"/>
                </w:rPr>
                <w:t xml:space="preserve">📖 R4DS §10.3 — Variation</w:t>
              </w:r>
            </w:hyperlink>
          </w:p>
          <w:p/>
        </w:tc>
      </w:tr>
    </w:tbl>
    <w:bookmarkEnd w:id="139"/>
    <w:bookmarkStart w:id="148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0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48"/>
    <w:bookmarkStart w:id="156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1-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Statistics, on the shape of a distribution behind any mean and SD you report.</w:t>
            </w:r>
          </w:p>
          <w:p/>
        </w:tc>
      </w:tr>
    </w:tbl>
    <w:bookmarkEnd w:id="156"/>
    <w:bookmarkStart w:id="159" w:name="your-turn-code-it-now-4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4b</w:t>
            </w:r>
            <w:r>
              <w:t xml:space="preserve"> </w:t>
            </w:r>
            <w:r>
              <w:t xml:space="preserve">— histograms and density curves. ⏱ Skip it if we are short; nothing later depends on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59"/>
    <w:bookmarkStart w:id="160" w:name="part-4-mean-se-plotted-directly"/>
    <w:p>
      <w:pPr>
        <w:pStyle w:val="Heading2"/>
      </w:pPr>
      <w:r>
        <w:t xml:space="preserve">Part 4 · Mean ± SE — Plotted Directly</w:t>
      </w:r>
    </w:p>
    <w:bookmarkEnd w:id="160"/>
    <w:bookmarkStart w:id="168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2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Convenient, but read the fine print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“Straight from the raw data”</w:t>
            </w:r>
            <w:r>
              <w:t xml:space="preserve"> </w:t>
            </w:r>
            <w:r>
              <w:t xml:space="preserve">means it used</w:t>
            </w:r>
            <w:r>
              <w:t xml:space="preserve"> </w:t>
            </w:r>
            <w:r>
              <w:rPr>
                <w:b/>
                <w:bCs/>
              </w:rPr>
              <w:t xml:space="preserve">all 64 needles</w:t>
            </w:r>
            <w:r>
              <w:t xml:space="preserve">. Those are the</w:t>
            </w:r>
            <w:r>
              <w:t xml:space="preserve"> </w:t>
            </w:r>
            <w:r>
              <w:rPr>
                <w:i/>
                <w:iCs/>
              </w:rPr>
              <w:t xml:space="preserve">naive</w:t>
            </w:r>
            <w:r>
              <w:t xml:space="preserve"> </w:t>
            </w:r>
            <w:r>
              <w:t xml:space="preserve">error bars from Describing Your Data — the ones that treat 8 needles from one tree as 8 independent facts.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on what an error bar is an estimate of.</w:t>
            </w:r>
            <w:r>
              <w:br/>
            </w:r>
            <w:r>
              <w:t xml:space="preserve">Gotelli &amp; Ellison, Ch. 6 — Designing Successful Field Studies, on why independence decides which rows you may average.</w:t>
            </w:r>
          </w:p>
          <w:p/>
        </w:tc>
      </w:tr>
    </w:tbl>
    <w:bookmarkEnd w:id="168"/>
    <w:bookmarkStart w:id="178" w:name="Xf6ca526f669cf17d02f04b87468560feb38389b"/>
    <w:p>
      <w:pPr>
        <w:pStyle w:val="Heading2"/>
      </w:pPr>
      <w:r>
        <w:t xml:space="preserve">The error bar is a claim — make it an honest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are about to draw the same two means, but with error bars built from the</w:t>
            </w:r>
            <w:r>
              <w:t xml:space="preserve"> </w:t>
            </w:r>
            <w:r>
              <w:rPr>
                <w:b/>
                <w:bCs/>
              </w:rPr>
              <w:t xml:space="preserve">4 tree means</w:t>
            </w:r>
            <w:r>
              <w:t xml:space="preserve"> </w:t>
            </w:r>
            <w:r>
              <w:t xml:space="preserve">instead of the 64 needles. Will the dots move? Will the bars?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SE, computed from 4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3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dots. Longer bars.</w:t>
            </w:r>
          </w:p>
          <w:p>
            <w:pPr>
              <w:pStyle w:val="BodyText"/>
            </w:pPr>
            <w:r>
              <w:t xml:space="preserve">The means are identical (14.12 and 15.21). The SEs went from 0.49/0.46 to</w:t>
            </w:r>
            <w:r>
              <w:t xml:space="preserve"> </w:t>
            </w:r>
            <w:r>
              <w:rPr>
                <w:b/>
                <w:bCs/>
              </w:rPr>
              <w:t xml:space="preserve">1.01/0.79</w:t>
            </w:r>
            <w:r>
              <w:t xml:space="preserve"> </w:t>
            </w:r>
            <w:r>
              <w:t xml:space="preserve">— roughly double.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small point here is</w:t>
            </w:r>
            <w:r>
              <w:t xml:space="preserve"> </w:t>
            </w:r>
            <w:r>
              <w:rPr>
                <w:b/>
                <w:bCs/>
              </w:rPr>
              <w:t xml:space="preserve">one tree</w:t>
            </w:r>
            <w:r>
              <w:t xml:space="preserve">, not one needle. That is the plot our design actually supports.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draw an error bar, ask what one point in it represents.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will happily compute an SE over anything you hand it — including rows that aren’t independent.</w:t>
            </w:r>
          </w:p>
          <w:p/>
        </w:tc>
      </w:tr>
    </w:tbl>
    <w:bookmarkEnd w:id="178"/>
    <w:bookmarkStart w:id="181" w:name="your-turn-code-it-now-5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5</w:t>
            </w:r>
            <w:r>
              <w:t xml:space="preserve"> </w:t>
            </w:r>
            <w:r>
              <w:t xml:space="preserve">— 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81"/>
    <w:bookmarkStart w:id="184" w:name="part-5-faceting-one-panel-per-group"/>
    <w:p>
      <w:pPr>
        <w:pStyle w:val="Heading2"/>
      </w:pPr>
      <w:r>
        <w:t xml:space="preserve">Part 5 · Faceting — One Panel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the worksheet walks through this one too.</w:t>
            </w:r>
          </w:p>
          <w:p/>
        </w:tc>
      </w:tr>
    </w:tbl>
    <w:bookmarkEnd w:id="184"/>
    <w:bookmarkStart w:id="190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4-1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facet_wrap(~team)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9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9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90"/>
    <w:bookmarkStart w:id="193" w:name="your-turn-code-it-now-6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6</w:t>
            </w:r>
            <w:r>
              <w:t xml:space="preserve"> </w:t>
            </w:r>
            <w:r>
              <w:t xml:space="preserve">— facet by field team. ⏱ Skip it if we are short.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93"/>
    <w:bookmarkStart w:id="194" w:name="Xd88dea708be972cf63e6b1bb8fc7df9bd51416a"/>
    <w:p>
      <w:pPr>
        <w:pStyle w:val="Heading2"/>
      </w:pPr>
      <w:r>
        <w:t xml:space="preserve">Part 6 · Themes — Write It Once, Use It Everywhere</w:t>
      </w:r>
    </w:p>
    <w:bookmarkEnd w:id="194"/>
    <w:bookmarkStart w:id="200" w:name="the-built-in-themes"/>
    <w:p>
      <w:pPr>
        <w:pStyle w:val="Heading2"/>
      </w:pPr>
      <w:r>
        <w:t xml:space="preserve">The Built-in Themes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201899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5-1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 have used so far)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</w:t>
      </w:r>
    </w:p>
    <w:p>
      <w:pPr>
        <w:pStyle w:val="FirstParagraph"/>
      </w:pPr>
      <w:r>
        <w:t xml:space="preserve">A theme changes</w:t>
      </w:r>
      <w:r>
        <w:t xml:space="preserve"> </w:t>
      </w:r>
      <w:r>
        <w:rPr>
          <w:b/>
          <w:bCs/>
        </w:rPr>
        <w:t xml:space="preserve">appearance only</w:t>
      </w:r>
      <w:r>
        <w:t xml:space="preserve"> </w:t>
      </w:r>
      <w:r>
        <w:t xml:space="preserve">— never the data or the statistics underneath.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problem with the built-ins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them is quite publication-ready, so you end up appending ten lines of</w:t>
            </w:r>
            <w:r>
              <w:t xml:space="preserve"> </w:t>
            </w:r>
            <w:r>
              <w:rPr>
                <w:rStyle w:val="VerbatimChar"/>
              </w:rPr>
              <w:t xml:space="preserve">theme(axis.title = element_text(...), ...)</w:t>
            </w:r>
            <w:r>
              <w:t xml:space="preserve"> </w:t>
            </w:r>
            <w:r>
              <w:t xml:space="preserve">to every single plot — and retyping them in every script, slightly differently each time.</w:t>
            </w:r>
          </w:p>
          <w:p/>
        </w:tc>
      </w:tr>
    </w:tbl>
    <w:bookmarkEnd w:id="200"/>
    <w:bookmarkStart w:id="207" w:name="the-themes-file-three-sizes-written-once"/>
    <w:p>
      <w:pPr>
        <w:pStyle w:val="Heading2"/>
      </w:pPr>
      <w:r>
        <w:t xml:space="preserve">The Themes File — Three Sizes, Written Once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r_themes_for_3_sizes.R</w:t>
      </w:r>
      <w:r>
        <w:t xml:space="preserve"> </w:t>
      </w:r>
      <w:r>
        <w:t xml:space="preserve">from the activity page and save it in your</w:t>
      </w:r>
      <w:r>
        <w:t xml:space="preserve"> </w:t>
      </w:r>
      <w:r>
        <w:rPr>
          <w:b/>
          <w:bCs/>
        </w:rPr>
        <w:t xml:space="preserve">project folder</w:t>
      </w:r>
      <w:r>
        <w:t xml:space="preserve">,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It defines three functions, each sized for a different final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you the same publication look: white background, a black panel border, 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steps, once each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Open the file and run it</w:t>
            </w:r>
            <w:r>
              <w:t xml:space="preserve"> </w:t>
            </w:r>
            <w:r>
              <w:t xml:space="preserve">(Ctrl/Cmd + Shift + Enter, or Source). Look at your Environment pane —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appear as functions. That is all</w:t>
            </w:r>
            <w:r>
              <w:t xml:space="preserve"> </w:t>
            </w:r>
            <w:r>
              <w:t xml:space="preserve">“running it”</w:t>
            </w:r>
            <w:r>
              <w:t xml:space="preserve"> </w:t>
            </w:r>
            <w:r>
              <w:t xml:space="preserve">does: it defines them.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From then on,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it</w:t>
            </w:r>
            <w:r>
              <w:t xml:space="preserve"> </w:t>
            </w:r>
            <w:r>
              <w:t xml:space="preserve">at the top of any script that makes a figure. One line replaces the whole block of theme code you would otherwise paste into every script.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At the top of your script,</w:t>
      </w:r>
      <w:r>
        <w:br/>
      </w:r>
      <w:r>
        <w:rPr>
          <w:rStyle w:val="CommentTok"/>
        </w:rPr>
        <w:t xml:space="preserve"># with library(tidyverse):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 copy-paste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Fix a 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 every script picks up the change the next time you run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Copy-pasted theme code gives you fifteen 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an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Put it in a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and it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bookmarkEnd w:id="207"/>
    <w:bookmarkStart w:id="215" w:name="using-the-themes"/>
    <w:p>
      <w:pPr>
        <w:pStyle w:val="Heading2"/>
      </w:pPr>
      <w:r>
        <w:t xml:space="preserve">Using the Themes</w:t>
      </w:r>
    </w:p>
    <w:p>
      <w:pPr>
        <w:pStyle w:val="SourceCode"/>
      </w:pP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themes-2-1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It is one more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layer, exactly like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3 × 3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7 × 7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poster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Match the theme to the size you will save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the theme for the figure’s</w:t>
            </w:r>
            <w:r>
              <w:t xml:space="preserve"> </w:t>
            </w:r>
            <w:r>
              <w:rPr>
                <w:b/>
                <w:bCs/>
              </w:rPr>
              <w:t xml:space="preserve">final printed size</w:t>
            </w:r>
            <w:r>
              <w:t xml:space="preserve">, then pass that same size to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 A</w:t>
            </w:r>
            <w:r>
              <w:t xml:space="preserve"> </w:t>
            </w:r>
            <w:r>
              <w:rPr>
                <w:rStyle w:val="VerbatimChar"/>
              </w:rPr>
              <w:t xml:space="preserve">theme_large()</w:t>
            </w:r>
            <w:r>
              <w:t xml:space="preserve"> </w:t>
            </w:r>
            <w:r>
              <w:t xml:space="preserve">plot saved at 3 × 3 in is unreadable, and</w:t>
            </w:r>
            <w:r>
              <w:t xml:space="preserve"> </w:t>
            </w:r>
            <w:r>
              <w:rPr>
                <w:rStyle w:val="VerbatimChar"/>
              </w:rPr>
              <w:t xml:space="preserve">theme_small()</w:t>
            </w:r>
            <w:r>
              <w:t xml:space="preserve"> </w:t>
            </w:r>
            <w:r>
              <w:t xml:space="preserve">on a poster disappears.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Still your plot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Anything you add after the theme still wins —</w:t>
            </w:r>
            <w:r>
              <w:t xml:space="preserve"> </w:t>
            </w:r>
            <w:r>
              <w:rPr>
                <w:rStyle w:val="VerbatimChar"/>
              </w:rPr>
              <w:t xml:space="preserve">theme_small() + theme(legend.position = "none")</w:t>
            </w:r>
            <w:r>
              <w:t xml:space="preserve"> </w:t>
            </w:r>
            <w:r>
              <w:t xml:space="preserve">keeps the theme and drops the legend.</w:t>
            </w:r>
          </w:p>
          <w:p/>
        </w:tc>
      </w:tr>
    </w:tbl>
    <w:bookmarkEnd w:id="215"/>
    <w:bookmarkStart w:id="218" w:name="your-turn-code-it-now-7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7 and 7b</w:t>
            </w:r>
            <w:r>
              <w:t xml:space="preserve"> </w:t>
            </w:r>
            <w:r>
              <w:t xml:space="preserve">— try the built-in themes, then download, run,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the themes file.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18"/>
    <w:bookmarkStart w:id="219" w:name="part-7-many-plots-on-one-page-patchwork"/>
    <w:p>
      <w:pPr>
        <w:pStyle w:val="Heading2"/>
      </w:pPr>
      <w:r>
        <w:t xml:space="preserve">Part 7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bookmarkEnd w:id="219"/>
    <w:bookmarkStart w:id="225" w:name="patchwork-for-whole-plots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for Whole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computer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t xml:space="preserve">Save each plot into an object, then combine them:</w:t>
      </w:r>
    </w:p>
    <w:p>
      <w:pPr>
        <w:pStyle w:val="SourceCode"/>
      </w:pPr>
      <w:r>
        <w:rPr>
          <w:rStyle w:val="NormalTok"/>
        </w:rPr>
        <w:t xml:space="preserve">plot_a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plot_a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stacked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reuses the operators you already know.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puts plots</w:t>
            </w:r>
            <w:r>
              <w:t xml:space="preserve"> </w:t>
            </w:r>
            <w:r>
              <w:rPr>
                <w:b/>
                <w:bCs/>
              </w:rPr>
              <w:t xml:space="preserve">beside</w:t>
            </w:r>
            <w:r>
              <w:t xml:space="preserve"> </w:t>
            </w:r>
            <w:r>
              <w:t xml:space="preserve">each other,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puts one</w:t>
            </w:r>
            <w:r>
              <w:t xml:space="preserve"> </w:t>
            </w:r>
            <w:r>
              <w:rPr>
                <w:b/>
                <w:bCs/>
              </w:rPr>
              <w:t xml:space="preserve">over</w:t>
            </w:r>
            <w:r>
              <w:t xml:space="preserve"> </w:t>
            </w:r>
            <w:r>
              <w:t xml:space="preserve">the other — and the result is still a plot object you can save.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</w:t>
      </w:r>
    </w:p>
    <w:p>
      <w:pPr>
        <w:pStyle w:val="FirstParagraph"/>
      </w:pPr>
      <w:r>
        <w:drawing>
          <wp:inline>
            <wp:extent cx="4587290" cy="2201899"/>
            <wp:effectExtent b="0" l="0" r="0" t="0"/>
            <wp:docPr descr="" title="" id="22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3-1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5"/>
    <w:bookmarkStart w:id="231" w:name="patchwork-building-a-real-figure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Building a Real Figure</w:t>
      </w:r>
    </w:p>
    <w:p>
      <w:pPr>
        <w:pStyle w:val="SourceCode"/>
      </w:pP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4587290" cy="3669832"/>
            <wp:effectExtent b="0" l="0" r="0" t="0"/>
            <wp:docPr descr="" title="" id="2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4-1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Parentheses group plots,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is two on top, one across the bottom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 panels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what a figure caption refers to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combined_plot</w:t>
      </w:r>
      <w:r>
        <w:t xml:space="preserve"> </w:t>
      </w:r>
      <w:r>
        <w:t xml:space="preserve">is one object, so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saves the whole multi-panel figure in one call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Size it for the whole figure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three-panel figure needs roughly three panels’ worth of space. Give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/</w:t>
            </w:r>
            <w:r>
              <w:rPr>
                <w:rStyle w:val="VerbatimChar"/>
              </w:rPr>
              <w:t xml:space="preserve">height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combined</w:t>
            </w:r>
            <w:r>
              <w:t xml:space="preserve"> </w:t>
            </w:r>
            <w:r>
              <w:t xml:space="preserve">plot, not for one panel.</w:t>
            </w:r>
          </w:p>
          <w:p/>
        </w:tc>
      </w:tr>
    </w:tbl>
    <w:bookmarkEnd w:id="231"/>
    <w:bookmarkStart w:id="234" w:name="your-turn-code-it-now-8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7c</w:t>
            </w:r>
            <w:r>
              <w:t xml:space="preserve"> </w:t>
            </w:r>
            <w:r>
              <w:t xml:space="preserve">— combine your plots with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34"/>
    <w:bookmarkStart w:id="235" w:name="part-8-saving-a-real-figure"/>
    <w:p>
      <w:pPr>
        <w:pStyle w:val="Heading2"/>
      </w:pPr>
      <w:r>
        <w:t xml:space="preserve">Part 8 · Saving a Real Figure</w:t>
      </w:r>
    </w:p>
    <w:bookmarkEnd w:id="235"/>
    <w:bookmarkStart w:id="243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CommentTok"/>
        </w:rPr>
        <w:t xml:space="preserve"># One panel, built with theme_small() — save it at the size the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three-panel patchwork figure — bigger canvas, one call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what a figure has to carry to stand on its own in a report.</w:t>
            </w:r>
          </w:p>
          <w:p>
            <w:pPr>
              <w:pStyle w:val="BodyText"/>
            </w:pPr>
            <w:pPr>
              <w:spacing w:after="16"/>
            </w:pPr>
            <w:hyperlink r:id="rId242">
              <w:r>
                <w:rPr>
                  <w:rStyle w:val="Hyperlink"/>
                </w:rPr>
                <w:t xml:space="preserve">📖 R4DS §11 — Communication</w:t>
              </w:r>
            </w:hyperlink>
          </w:p>
          <w:p/>
        </w:tc>
      </w:tr>
    </w:tbl>
    <w:bookmarkEnd w:id="243"/>
    <w:bookmarkStart w:id="246" w:name="your-turn-code-it-now-9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</w:t>
            </w:r>
            <w:r>
              <w:t xml:space="preserve"> </w:t>
            </w:r>
            <w:r>
              <w:t xml:space="preserve">— save both figures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46"/>
    <w:bookmarkStart w:id="247" w:name="Xd75e51b8f896b72477b6faa7b64a02060139b6d"/>
    <w:p>
      <w:pPr>
        <w:pStyle w:val="Heading2"/>
      </w:pPr>
      <w:r>
        <w:t xml:space="preserve">Part 9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247"/>
    <w:bookmarkStart w:id="257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8-1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these two colors?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#2c7fb8</w:t>
            </w:r>
            <w:r>
              <w:t xml:space="preserve"> </w:t>
            </w:r>
            <w:r>
              <w:t xml:space="preserve">(blue) and</w:t>
            </w:r>
            <w:r>
              <w:t xml:space="preserve"> </w:t>
            </w:r>
            <w:r>
              <w:rPr>
                <w:rStyle w:val="VerbatimChar"/>
              </w:rPr>
              <w:t xml:space="preserve">#d95f0e</w:t>
            </w:r>
            <w:r>
              <w:t xml:space="preserve"> </w:t>
            </w:r>
            <w:r>
              <w:t xml:space="preserve">(orange) are a</w:t>
            </w:r>
            <w:r>
              <w:t xml:space="preserve"> </w:t>
            </w:r>
            <w:r>
              <w:rPr>
                <w:b/>
                <w:bCs/>
              </w:rPr>
              <w:t xml:space="preserve">blue–orange</w:t>
            </w:r>
            <w:r>
              <w:t xml:space="preserve"> </w:t>
            </w:r>
            <w:r>
              <w:t xml:space="preserve">pair, the safest two-colour choice for colour-vision deficiency: red–green confusion, which affects roughly 8% of men, leaves the blue–orange axis intact.</w:t>
            </w:r>
          </w:p>
          <w:p>
            <w:pPr>
              <w:pStyle w:val="BodyText"/>
            </w:pPr>
            <w:r>
              <w:t xml:space="preserve">Don’t take that on faith — check any pair you invent with a simulator (the</w:t>
            </w:r>
            <w:r>
              <w:t xml:space="preserve"> </w:t>
            </w:r>
            <w:r>
              <w:rPr>
                <w:rStyle w:val="VerbatimChar"/>
              </w:rPr>
              <w:t xml:space="preserve">colorblindr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dichromat</w:t>
            </w:r>
            <w:r>
              <w:t xml:space="preserve"> </w:t>
            </w:r>
            <w:r>
              <w:t xml:space="preserve">packages), or start from a palette that was built for it:</w:t>
            </w:r>
            <w:r>
              <w:t xml:space="preserve"> </w:t>
            </w:r>
            <w:r>
              <w:rPr>
                <w:rStyle w:val="VerbatimChar"/>
              </w:rPr>
              <w:t xml:space="preserve">scale_color_viridis_d()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RColorBrewer::brewer.pal(n, "Dark2")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  <w:r>
              <w:t xml:space="preserve">, including the ColorBrewer palettes.</w:t>
            </w:r>
          </w:p>
          <w:p/>
        </w:tc>
      </w:tr>
    </w:tbl>
    <w:bookmarkEnd w:id="257"/>
    <w:bookmarkStart w:id="260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"sun" instead of the real value "sunny"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unique(pine_df$side)</w:t>
            </w:r>
            <w:r>
              <w:t xml:space="preserve"> </w:t>
            </w:r>
            <w:r>
              <w:t xml:space="preserve">first if you are not sure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A missing or misspelled level draws as grey with a warning.</w:t>
            </w:r>
          </w:p>
          <w:p/>
        </w:tc>
      </w:tr>
    </w:tbl>
    <w:bookmarkEnd w:id="260"/>
    <w:bookmarkStart w:id="266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20-1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266"/>
    <w:bookmarkStart w:id="269" w:name="your-turn-code-it-now-10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8b</w:t>
            </w:r>
            <w:r>
              <w:t xml:space="preserve"> </w:t>
            </w:r>
            <w:r>
              <w:t xml:space="preserve">— 🚀 optional bonus: pick your own colors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, and check them against a colorblind-safe palette.</w:t>
            </w:r>
          </w:p>
          <w:p/>
        </w:tc>
      </w:tr>
    </w:tbl>
    <w:bookmarkEnd w:id="269"/>
    <w:bookmarkStart w:id="27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5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5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5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5"/>
        </w:numPr>
      </w:pPr>
      <w:r>
        <w:t xml:space="preserve">Set axis limits deliberately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— and learned that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rows while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only zooms</w:t>
      </w:r>
    </w:p>
    <w:p>
      <w:pPr>
        <w:pStyle w:val="Compact"/>
        <w:numPr>
          <w:ilvl w:val="0"/>
          <w:numId w:val="1015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and saw that an error bar is only as honest as the rows you feed it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source()</w:t>
      </w:r>
      <w:r>
        <w:rPr>
          <w:b/>
          <w:bCs/>
        </w:rPr>
        <w:t xml:space="preserve">d a themes file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are one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 away in every script, forever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Combined panels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, tagged A/B/C</w:t>
      </w:r>
    </w:p>
    <w:p>
      <w:pPr>
        <w:pStyle w:val="Compact"/>
        <w:numPr>
          <w:ilvl w:val="0"/>
          <w:numId w:val="1015"/>
        </w:numPr>
      </w:pPr>
      <w:r>
        <w:t xml:space="preserve">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(As time allowed)</w:t>
      </w:r>
      <w:r>
        <w:t xml:space="preserve"> </w:t>
      </w:r>
      <w:r>
        <w:t xml:space="preserve">Histograms, density curves,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 custom colors with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source the themes file, build a two-panel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figure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limits you chose on purpose,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274"/>
    <w:bookmarkStart w:id="281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7"/>
        </w:numPr>
      </w:pPr>
      <w:r>
        <w:t xml:space="preserve">Whitlock &amp; Schluter, Ch. 4 — Estimating with Uncertainty, on what an error bar actually claims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W&amp;S tells you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graph is honest. R4DS tells you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to draw it. You need both.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279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1">
              <w:r>
                <w:rPr>
                  <w:rStyle w:val="Hyperlink"/>
                </w:rPr>
                <w:t xml:space="preserve">§1 — Data visualization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  <w:r>
              <w:t xml:space="preserve"> </w:t>
            </w:r>
            <w:r>
              <w:t xml:space="preserve">— geoms, aesthetics, positions, facets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80">
              <w:r>
                <w:rPr>
                  <w:rStyle w:val="Hyperlink"/>
                </w:rPr>
                <w:t xml:space="preserve">§10 — Exploratory data analysis</w:t>
              </w:r>
            </w:hyperlink>
            <w:r>
              <w:t xml:space="preserve"> </w:t>
            </w:r>
            <w:r>
              <w:t xml:space="preserve">— histograms and distribution shape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42">
              <w:r>
                <w:rPr>
                  <w:rStyle w:val="Hyperlink"/>
                </w:rPr>
                <w:t xml:space="preserve">§11 — Communication</w:t>
              </w:r>
            </w:hyperlink>
            <w:r>
              <w:t xml:space="preserve"> </w:t>
            </w:r>
            <w:r>
              <w:t xml:space="preserve">— labels, scales, themes, saving</w:t>
            </w:r>
          </w:p>
          <w:p/>
        </w:tc>
      </w:tr>
    </w:tbl>
    <w:bookmarkEnd w:id="281"/>
    <w:bookmarkStart w:id="28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9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9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9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282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2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55" Target="media/rId55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112" Target="media/rId112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161" Target="media/rId161.png" /><Relationship Type="http://schemas.openxmlformats.org/officeDocument/2006/relationships/image" Id="rId171" Target="media/rId171.png" /><Relationship Type="http://schemas.openxmlformats.org/officeDocument/2006/relationships/image" Id="rId185" Target="media/rId185.png" /><Relationship Type="http://schemas.openxmlformats.org/officeDocument/2006/relationships/image" Id="rId195" Target="media/rId195.png" /><Relationship Type="http://schemas.openxmlformats.org/officeDocument/2006/relationships/image" Id="rId250" Target="media/rId250.png" /><Relationship Type="http://schemas.openxmlformats.org/officeDocument/2006/relationships/image" Id="rId261" Target="media/rId261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08" Target="media/rId208.png" /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axis labels with labs(), mapping color and fill by group, setting axis limits honestly with coord_cartesian(), plotting mean ± SE with stat_summary(), sourcing a reusable themes file for publication-ready figures, combining panels with patchwork, and a real ggsave() drill — all on the pine needle data the class collected.</dc:description>
  <cp:keywords/>
  <dcterms:created xsi:type="dcterms:W3CDTF">2026-09-28T15:15:38Z</dcterms:created>
  <dcterms:modified xsi:type="dcterms:W3CDTF">2026-09-28T15:15:38Z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axis limits, a reusable themes file, multi-panel figures, and saving publication-ready output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