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Subtitle"/>
      </w:pPr>
      <w:r>
        <w:t xml:space="preserve">One-way ANOVA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 mathematically equivalent to a regression model with dummy variables 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 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 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 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 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 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 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 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 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 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 Linear Model, just expressed in different ways. For a categorical 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 regression approach, with one level serving as the reference category.</w:t>
      </w:r>
    </w:p>
    <w:bookmarkEnd w:id="27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before="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2026-09-30T00:59:35Z</dcterms:created>
  <dcterms:modified xsi:type="dcterms:W3CDTF">2026-09-30T00:59:35Z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order">
    <vt:lpwstr>11</vt:lpwstr>
  </property>
  <property fmtid="{D5CDD505-2E9C-101B-9397-08002B2CF9AE}" pid="11" name="resources">
    <vt:lpwstr/>
  </property>
  <property fmtid="{D5CDD505-2E9C-101B-9397-08002B2CF9AE}" pid="12" name="subtitle">
    <vt:lpwstr>One-way ANOVA</vt:lpwstr>
  </property>
  <property fmtid="{D5CDD505-2E9C-101B-9397-08002B2CF9AE}" pid="13" name="toc-title">
    <vt:lpwstr>Table of contents</vt:lpwstr>
  </property>
  <property fmtid="{D5CDD505-2E9C-101B-9397-08002B2CF9AE}" pid="14" name="week">
    <vt:lpwstr>6</vt:lpwstr>
  </property>
</Properties>
</file>