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76.png" ContentType="image/png"/>
  <Override PartName="/word/media/rId89.png" ContentType="image/png"/>
  <Override PartName="/word/media/rId45.png" ContentType="image/png"/>
  <Override PartName="/word/media/rId50.png" ContentType="image/png"/>
  <Override PartName="/word/media/rId57.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Power — what it is and why we talk about it</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2928" cy="1901952"/>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2928" cy="1261871"/>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2928" cy="1261871"/>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2928" cy="2432304"/>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2928" cy="2432304"/>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2928" cy="237744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4288" cy="2770632"/>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4288" cy="27706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5334000" cy="4800600"/>
            <wp:effectExtent b="0" l="0" r="0" t="0"/>
            <wp:docPr descr="" title="" id="46" name="Picture"/>
            <a:graphic>
              <a:graphicData uri="http://schemas.openxmlformats.org/drawingml/2006/picture">
                <pic:pic>
                  <pic:nvPicPr>
                    <pic:cNvPr descr="nonparametric_t_tests_lecture_files/figure-docx/unnamed-chunk-4-1.png" id="47" name="Picture"/>
                    <pic:cNvPicPr>
                      <a:picLocks noChangeArrowheads="1" noChangeAspect="1"/>
                    </pic:cNvPicPr>
                  </pic:nvPicPr>
                  <pic:blipFill>
                    <a:blip r:embed="rId45"/>
                    <a:stretch>
                      <a:fillRect/>
                    </a:stretch>
                  </pic:blipFill>
                  <pic:spPr bwMode="auto">
                    <a:xfrm>
                      <a:off x="0" y="0"/>
                      <a:ext cx="5334000" cy="4800600"/>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5334000" cy="4667250"/>
            <wp:effectExtent b="0" l="0" r="0" t="0"/>
            <wp:docPr descr="" title="" id="51" name="Picture"/>
            <a:graphic>
              <a:graphicData uri="http://schemas.openxmlformats.org/drawingml/2006/picture">
                <pic:pic>
                  <pic:nvPicPr>
                    <pic:cNvPr descr="nonparametric_t_tests_lecture_files/figure-docx/unnamed-chunk-6-1.png" id="52" name="Picture"/>
                    <pic:cNvPicPr>
                      <a:picLocks noChangeArrowheads="1" noChangeAspect="1"/>
                    </pic:cNvPicPr>
                  </pic:nvPicPr>
                  <pic:blipFill>
                    <a:blip r:embed="rId50"/>
                    <a:stretch>
                      <a:fillRect/>
                    </a:stretch>
                  </pic:blipFill>
                  <pic:spPr bwMode="auto">
                    <a:xfrm>
                      <a:off x="0" y="0"/>
                      <a:ext cx="5334000" cy="4667250"/>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5334000" cy="4667250"/>
            <wp:effectExtent b="0" l="0" r="0" t="0"/>
            <wp:docPr descr="" title="" id="58" name="Picture"/>
            <a:graphic>
              <a:graphicData uri="http://schemas.openxmlformats.org/drawingml/2006/picture">
                <pic:pic>
                  <pic:nvPicPr>
                    <pic:cNvPr descr="nonparametric_t_tests_lecture_files/figure-docx/unnamed-chunk-7-1.png" id="59" name="Picture"/>
                    <pic:cNvPicPr>
                      <a:picLocks noChangeArrowheads="1" noChangeAspect="1"/>
                    </pic:cNvPicPr>
                  </pic:nvPicPr>
                  <pic:blipFill>
                    <a:blip r:embed="rId57"/>
                    <a:stretch>
                      <a:fillRect/>
                    </a:stretch>
                  </pic:blipFill>
                  <pic:spPr bwMode="auto">
                    <a:xfrm>
                      <a:off x="0" y="0"/>
                      <a:ext cx="5334000" cy="4667250"/>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5334000" cy="6667500"/>
            <wp:effectExtent b="0" l="0" r="0" t="0"/>
            <wp:docPr descr="" title="" id="63" name="Picture"/>
            <a:graphic>
              <a:graphicData uri="http://schemas.openxmlformats.org/drawingml/2006/picture">
                <pic:pic>
                  <pic:nvPicPr>
                    <pic:cNvPr descr="nonparametric_t_tests_lecture_files/figure-docx/unnamed-chunk-8-1.png" id="64" name="Picture"/>
                    <pic:cNvPicPr>
                      <a:picLocks noChangeArrowheads="1" noChangeAspect="1"/>
                    </pic:cNvPicPr>
                  </pic:nvPicPr>
                  <pic:blipFill>
                    <a:blip r:embed="rId62"/>
                    <a:stretch>
                      <a:fillRect/>
                    </a:stretch>
                  </pic:blipFill>
                  <pic:spPr bwMode="auto">
                    <a:xfrm>
                      <a:off x="0" y="0"/>
                      <a:ext cx="5334000" cy="6667500"/>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5334000" cy="4392705"/>
            <wp:effectExtent b="0" l="0" r="0" t="0"/>
            <wp:docPr descr="" title="" id="67" name="Picture"/>
            <a:graphic>
              <a:graphicData uri="http://schemas.openxmlformats.org/drawingml/2006/picture">
                <pic:pic>
                  <pic:nvPicPr>
                    <pic:cNvPr descr="nonparametric_t_tests_lecture_files/figure-docx/unnamed-chunk-9-1.png" id="68" name="Picture"/>
                    <pic:cNvPicPr>
                      <a:picLocks noChangeArrowheads="1" noChangeAspect="1"/>
                    </pic:cNvPicPr>
                  </pic:nvPicPr>
                  <pic:blipFill>
                    <a:blip r:embed="rId66"/>
                    <a:stretch>
                      <a:fillRect/>
                    </a:stretch>
                  </pic:blipFill>
                  <pic:spPr bwMode="auto">
                    <a:xfrm>
                      <a:off x="0" y="0"/>
                      <a:ext cx="5334000" cy="4392705"/>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2928" cy="2450592"/>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2928" cy="2450592"/>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5334000" cy="4392705"/>
            <wp:effectExtent b="0" l="0" r="0" t="0"/>
            <wp:docPr descr="" title="" id="77" name="Picture"/>
            <a:graphic>
              <a:graphicData uri="http://schemas.openxmlformats.org/drawingml/2006/picture">
                <pic:pic>
                  <pic:nvPicPr>
                    <pic:cNvPr descr="nonparametric_t_tests_lecture_files/figure-docx/unnamed-chunk-10-1.png" id="78" name="Picture"/>
                    <pic:cNvPicPr>
                      <a:picLocks noChangeArrowheads="1" noChangeAspect="1"/>
                    </pic:cNvPicPr>
                  </pic:nvPicPr>
                  <pic:blipFill>
                    <a:blip r:embed="rId76"/>
                    <a:stretch>
                      <a:fillRect/>
                    </a:stretch>
                  </pic:blipFill>
                  <pic:spPr bwMode="auto">
                    <a:xfrm>
                      <a:off x="0" y="0"/>
                      <a:ext cx="5334000" cy="4392705"/>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6-permutation-tests"/>
    <w:p>
      <w:pPr>
        <w:pStyle w:val="Heading2"/>
      </w:pPr>
      <w:r>
        <w:t xml:space="preserve">Part 6 · Permutation Tests</w:t>
      </w:r>
    </w:p>
    <w:bookmarkEnd w:id="88"/>
    <w:bookmarkStart w:id="92" w:name="permutation-tests-concept"/>
    <w:p>
      <w:pPr>
        <w:pStyle w:val="Heading2"/>
      </w:pPr>
      <w:r>
        <w:t xml:space="preserve">Permutation Tests — Concept</w:t>
      </w:r>
    </w:p>
    <w:p>
      <w:pPr>
        <w:pStyle w:val="Compact"/>
        <w:numPr>
          <w:ilvl w:val="0"/>
          <w:numId w:val="1020"/>
        </w:numPr>
      </w:pPr>
      <w:r>
        <w:t xml:space="preserve">Permutation tests are based on resampling: reshuffling the original data</w:t>
      </w:r>
    </w:p>
    <w:p>
      <w:pPr>
        <w:pStyle w:val="Compact"/>
        <w:numPr>
          <w:ilvl w:val="0"/>
          <w:numId w:val="1020"/>
        </w:numPr>
      </w:pPr>
      <w:r>
        <w:t xml:space="preserve">Resampling allows parameter estimation when the distribution is unknown, including SEs and CIs of statistics (means, medians)</w:t>
      </w:r>
    </w:p>
    <w:p>
      <w:pPr>
        <w:pStyle w:val="Compact"/>
        <w:numPr>
          <w:ilvl w:val="0"/>
          <w:numId w:val="1020"/>
        </w:numPr>
      </w:pPr>
      <w:r>
        <w:t xml:space="preserve">A common approach is the bootstrap: resample with replacement many times, recalculate sample stats</w:t>
      </w:r>
    </w:p>
    <w:p>
      <w:pPr>
        <w:pStyle w:val="Compact"/>
        <w:numPr>
          <w:ilvl w:val="0"/>
          <w:numId w:val="1020"/>
        </w:numPr>
      </w:pPr>
      <w:r>
        <w:t xml:space="preserve">We use the</w:t>
      </w:r>
      <w:r>
        <w:t xml:space="preserve"> </w:t>
      </w:r>
      <w:r>
        <w:rPr>
          <w:rStyle w:val="VerbatimChar"/>
        </w:rPr>
        <w:t xml:space="preserve">perm</w:t>
      </w:r>
      <w:r>
        <w:t xml:space="preserve"> </w:t>
      </w:r>
      <w:r>
        <w:t xml:space="preserve">package</w:t>
      </w:r>
    </w:p>
    <w:p>
      <w:pPr>
        <w:pStyle w:val="Compact"/>
        <w:numPr>
          <w:ilvl w:val="0"/>
          <w:numId w:val="1020"/>
        </w:numPr>
      </w:pPr>
      <w:r>
        <w:t xml:space="preserve">H₀: µ_A = µ_B, Hₐ: µ_A ≠ µ_B</w:t>
      </w:r>
    </w:p>
    <w:p>
      <w:pPr>
        <w:pStyle w:val="Compact"/>
        <w:numPr>
          <w:ilvl w:val="0"/>
          <w:numId w:val="1020"/>
        </w:numPr>
      </w:pPr>
      <w:r>
        <w:t xml:space="preserve">Calculates the difference Δ in means between two groups</w:t>
      </w:r>
    </w:p>
    <w:p>
      <w:pPr>
        <w:pStyle w:val="FirstParagraph"/>
      </w:pPr>
      <w:r>
        <w:drawing>
          <wp:inline>
            <wp:extent cx="5334000" cy="4667250"/>
            <wp:effectExtent b="0" l="0" r="0" t="0"/>
            <wp:docPr descr="" title="" id="90" name="Picture"/>
            <a:graphic>
              <a:graphicData uri="http://schemas.openxmlformats.org/drawingml/2006/picture">
                <pic:pic>
                  <pic:nvPicPr>
                    <pic:cNvPr descr="nonparametric_t_tests_lecture_files/figure-docx/unnamed-chunk-13-1.png" id="91" name="Picture"/>
                    <pic:cNvPicPr>
                      <a:picLocks noChangeArrowheads="1" noChangeAspect="1"/>
                    </pic:cNvPicPr>
                  </pic:nvPicPr>
                  <pic:blipFill>
                    <a:blip r:embed="rId89"/>
                    <a:stretch>
                      <a:fillRect/>
                    </a:stretch>
                  </pic:blipFill>
                  <pic:spPr bwMode="auto">
                    <a:xfrm>
                      <a:off x="0" y="0"/>
                      <a:ext cx="5334000" cy="4667250"/>
                    </a:xfrm>
                    <a:prstGeom prst="rect">
                      <a:avLst/>
                    </a:prstGeom>
                    <a:noFill/>
                    <a:ln w="9525">
                      <a:noFill/>
                      <a:headEnd/>
                      <a:tailEnd/>
                    </a:ln>
                  </pic:spPr>
                </pic:pic>
              </a:graphicData>
            </a:graphic>
          </wp:inline>
        </w:drawing>
      </w:r>
    </w:p>
    <w:bookmarkEnd w:id="92"/>
    <w:bookmarkStart w:id="96" w:name="permutation-tests-method"/>
    <w:p>
      <w:pPr>
        <w:pStyle w:val="Heading2"/>
      </w:pPr>
      <w:r>
        <w:t xml:space="preserve">Permutation Tests — Method</w:t>
      </w:r>
    </w:p>
    <w:p>
      <w:pPr>
        <w:pStyle w:val="Compact"/>
        <w:numPr>
          <w:ilvl w:val="0"/>
          <w:numId w:val="1021"/>
        </w:numPr>
      </w:pPr>
      <w:r>
        <w:t xml:space="preserve">Randomly reshuffle observations between groups (keeping n₍NE 12₎ = 323 and n₍Island₎ = 10), calculate Δ</w:t>
      </w:r>
    </w:p>
    <w:p>
      <w:pPr>
        <w:pStyle w:val="Compact"/>
        <w:numPr>
          <w:ilvl w:val="0"/>
          <w:numId w:val="1021"/>
        </w:numPr>
      </w:pPr>
      <w:r>
        <w:t xml:space="preserve">Repeat &gt; 1,000 times</w:t>
      </w:r>
    </w:p>
    <w:p>
      <w:pPr>
        <w:pStyle w:val="Compact"/>
        <w:numPr>
          <w:ilvl w:val="0"/>
          <w:numId w:val="1021"/>
        </w:numPr>
      </w:pPr>
      <w:r>
        <w:t xml:space="preserve">Record the proportion of the differences in means as extreme as (or more extreme than) observed</w:t>
      </w:r>
    </w:p>
    <w:p>
      <w:pPr>
        <w:pStyle w:val="Compact"/>
        <w:numPr>
          <w:ilvl w:val="0"/>
          <w:numId w:val="1021"/>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95">
              <w:r>
                <w:rPr>
                  <w:rStyle w:val="Hyperlink"/>
                </w:rPr>
                <w:t xml:space="preserve">jwilber.me/permutationtest</w:t>
              </w:r>
            </w:hyperlink>
          </w:p>
          <w:p/>
        </w:tc>
      </w:tr>
    </w:tbl>
    <w:bookmarkEnd w:id="96"/>
    <w:bookmarkStart w:id="97"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NormalTok"/>
        </w:rPr>
        <w:t xml:space="preserve">ne12_perm_data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CommentTok"/>
        </w:rPr>
        <w:t xml:space="preserve"># Randomly sample exactly 25 observations from NE 12</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ne12_perm_data </w:t>
      </w:r>
      <w:r>
        <w:rPr>
          <w:rStyle w:val="OtherTok"/>
        </w:rPr>
        <w:t xml:space="preserve">&lt;-</w:t>
      </w:r>
      <w:r>
        <w:rPr>
          <w:rStyle w:val="NormalTok"/>
        </w:rPr>
        <w:t xml:space="preserve"> </w:t>
      </w:r>
      <w:r>
        <w:rPr>
          <w:rStyle w:val="FunctionTok"/>
        </w:rPr>
        <w:t xml:space="preserve">sample</w:t>
      </w:r>
      <w:r>
        <w:rPr>
          <w:rStyle w:val="NormalTok"/>
        </w:rPr>
        <w:t xml:space="preserve">(ne12_perm_data, </w:t>
      </w:r>
      <w:r>
        <w:rPr>
          <w:rStyle w:val="AttributeTok"/>
        </w:rPr>
        <w:t xml:space="preserve">size =</w:t>
      </w:r>
      <w:r>
        <w:rPr>
          <w:rStyle w:val="NormalTok"/>
        </w:rPr>
        <w:t xml:space="preserve"> </w:t>
      </w:r>
      <w:r>
        <w:rPr>
          <w:rStyle w:val="DecValTok"/>
        </w:rPr>
        <w:t xml:space="preserve">25</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br/>
      </w:r>
      <w:r>
        <w:rPr>
          <w:rStyle w:val="NormalTok"/>
        </w:rPr>
        <w:t xml:space="preserve">island_perm_data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NormalTok"/>
        </w:rPr>
        <w:t xml:space="preserve">observed_diff </w:t>
      </w:r>
      <w:r>
        <w:rPr>
          <w:rStyle w:val="OtherTok"/>
        </w:rPr>
        <w:t xml:space="preserve">&lt;-</w:t>
      </w:r>
      <w:r>
        <w:rPr>
          <w:rStyle w:val="NormalTok"/>
        </w:rPr>
        <w:t xml:space="preserve"> </w:t>
      </w:r>
      <w:r>
        <w:rPr>
          <w:rStyle w:val="FunctionTok"/>
        </w:rPr>
        <w:t xml:space="preserve">mean</w:t>
      </w:r>
      <w:r>
        <w:rPr>
          <w:rStyle w:val="NormalTok"/>
        </w:rPr>
        <w:t xml:space="preserve">(ne12_perm_data,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(island_perm_data,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FunctionTok"/>
        </w:rPr>
        <w:t xml:space="preserve">permTS</w:t>
      </w:r>
      <w:r>
        <w:rPr>
          <w:rStyle w:val="NormalTok"/>
        </w:rPr>
        <w:t xml:space="preserve">(ne12_perm_data, island_perm_data,</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GROUP 1 and GROUP 2</w:t>
      </w:r>
      <w:r>
        <w:br/>
      </w:r>
      <w:r>
        <w:rPr>
          <w:rStyle w:val="VerbatimChar"/>
        </w:rPr>
        <w:t xml:space="preserve">p-value = 2e-04</w:t>
      </w:r>
      <w:r>
        <w:br/>
      </w:r>
      <w:r>
        <w:rPr>
          <w:rStyle w:val="VerbatimChar"/>
        </w:rPr>
        <w:t xml:space="preserve">alternative hypothesis: true mean GROUP 1 - mean GROUP 2 is not equal to 0</w:t>
      </w:r>
      <w:r>
        <w:br/>
      </w:r>
      <w:r>
        <w:rPr>
          <w:rStyle w:val="VerbatimChar"/>
        </w:rPr>
        <w:t xml:space="preserve">sample estimates:</w:t>
      </w:r>
      <w:r>
        <w:br/>
      </w:r>
      <w:r>
        <w:rPr>
          <w:rStyle w:val="VerbatimChar"/>
        </w:rPr>
        <w:t xml:space="preserve">mean GROUP 1 - mean GROUP 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97"/>
    <w:bookmarkStart w:id="98" w:name="part-7-summary"/>
    <w:p>
      <w:pPr>
        <w:pStyle w:val="Heading2"/>
      </w:pPr>
      <w:r>
        <w:t xml:space="preserve">Part 7 · Summary</w:t>
      </w:r>
    </w:p>
    <w:bookmarkEnd w:id="98"/>
    <w:bookmarkStart w:id="101"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2"/>
        </w:numPr>
      </w:pPr>
      <w:r>
        <w:rPr>
          <w:b/>
          <w:bCs/>
        </w:rPr>
        <w:t xml:space="preserve">Random sampling</w:t>
      </w:r>
      <w:r>
        <w:t xml:space="preserve"> </w:t>
      </w:r>
      <w:r>
        <w:t xml:space="preserve">— samples are randomly collected from populations</w:t>
      </w:r>
    </w:p>
    <w:p>
      <w:pPr>
        <w:pStyle w:val="Compact"/>
        <w:numPr>
          <w:ilvl w:val="0"/>
          <w:numId w:val="1022"/>
        </w:numPr>
      </w:pPr>
      <w:r>
        <w:rPr>
          <w:b/>
          <w:bCs/>
        </w:rPr>
        <w:t xml:space="preserve">Normality</w:t>
      </w:r>
      <w:r>
        <w:t xml:space="preserve"> </w:t>
      </w:r>
      <w:r>
        <w:t xml:space="preserve">— data follows a normal distribution</w:t>
      </w:r>
    </w:p>
    <w:p>
      <w:pPr>
        <w:pStyle w:val="Compact"/>
        <w:numPr>
          <w:ilvl w:val="0"/>
          <w:numId w:val="1022"/>
        </w:numPr>
      </w:pPr>
      <w:r>
        <w:rPr>
          <w:b/>
          <w:bCs/>
        </w:rPr>
        <w:t xml:space="preserve">Equal variance</w:t>
      </w:r>
      <w:r>
        <w:t xml:space="preserve"> </w:t>
      </w:r>
      <w:r>
        <w:t xml:space="preserve">— samples come from populations with similar variability</w:t>
      </w:r>
    </w:p>
    <w:p>
      <w:pPr>
        <w:pStyle w:val="Compact"/>
        <w:numPr>
          <w:ilvl w:val="0"/>
          <w:numId w:val="1022"/>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3"/>
              </w:numPr>
            </w:pPr>
            <w:r>
              <w:t xml:space="preserve">Key to do</w:t>
            </w:r>
            <w:r>
              <w:t xml:space="preserve"> </w:t>
            </w:r>
            <w:r>
              <w:rPr>
                <w:i/>
                <w:iCs/>
              </w:rPr>
              <w:t xml:space="preserve">every time</w:t>
            </w:r>
          </w:p>
          <w:p>
            <w:pPr>
              <w:pStyle w:val="Compact"/>
              <w:numPr>
                <w:ilvl w:val="0"/>
                <w:numId w:val="1023"/>
              </w:numPr>
            </w:pPr>
            <w:r>
              <w:t xml:space="preserve">Should be acknowledged in the manuscript</w:t>
            </w:r>
          </w:p>
          <w:p/>
        </w:tc>
      </w:tr>
    </w:tbl>
    <w:bookmarkEnd w:id="101"/>
    <w:bookmarkStart w:id="104"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4"/>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4"/>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4"/>
        </w:numPr>
      </w:pPr>
      <w:r>
        <w:rPr>
          <w:b/>
          <w:bCs/>
        </w:rPr>
        <w:t xml:space="preserve">Box-Cox:</w:t>
      </w:r>
      <w:r>
        <w:t xml:space="preserve"> </w:t>
      </w:r>
      <w:r>
        <w:t xml:space="preserve">a more flexible family of power transformations</w:t>
      </w:r>
    </w:p>
    <w:p>
      <w:pPr>
        <w:pStyle w:val="Compact"/>
        <w:numPr>
          <w:ilvl w:val="0"/>
          <w:numId w:val="1024"/>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04"/>
    <w:bookmarkStart w:id="105"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5"/>
        </w:numPr>
      </w:pPr>
      <w:r>
        <w:t xml:space="preserve">High statistical power when assumptions are met</w:t>
      </w:r>
    </w:p>
    <w:p>
      <w:pPr>
        <w:pStyle w:val="Compact"/>
        <w:numPr>
          <w:ilvl w:val="0"/>
          <w:numId w:val="1025"/>
        </w:numPr>
      </w:pPr>
      <w:r>
        <w:t xml:space="preserve">Well understood and widely accepted</w:t>
      </w:r>
    </w:p>
    <w:p>
      <w:pPr>
        <w:pStyle w:val="FirstParagraph"/>
      </w:pPr>
      <w:r>
        <w:t xml:space="preserve">Weaknesses:</w:t>
      </w:r>
    </w:p>
    <w:p>
      <w:pPr>
        <w:pStyle w:val="Compact"/>
        <w:numPr>
          <w:ilvl w:val="0"/>
          <w:numId w:val="1026"/>
        </w:numPr>
      </w:pPr>
      <w:r>
        <w:t xml:space="preserve">Sensitive to violations of normality, equal variance</w:t>
      </w:r>
    </w:p>
    <w:p>
      <w:pPr>
        <w:pStyle w:val="Compact"/>
        <w:numPr>
          <w:ilvl w:val="0"/>
          <w:numId w:val="1026"/>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7"/>
        </w:numPr>
      </w:pPr>
      <w:r>
        <w:t xml:space="preserve">Robust to violations of the equal-variance assumption</w:t>
      </w:r>
    </w:p>
    <w:p>
      <w:pPr>
        <w:pStyle w:val="Compact"/>
        <w:numPr>
          <w:ilvl w:val="0"/>
          <w:numId w:val="1027"/>
        </w:numPr>
      </w:pPr>
      <w:r>
        <w:t xml:space="preserve">Handles unequal sample sizes well</w:t>
      </w:r>
    </w:p>
    <w:p>
      <w:pPr>
        <w:pStyle w:val="Compact"/>
        <w:numPr>
          <w:ilvl w:val="0"/>
          <w:numId w:val="1027"/>
        </w:numPr>
      </w:pPr>
      <w:r>
        <w:t xml:space="preserve">Still parametric (assumes normality)</w:t>
      </w:r>
    </w:p>
    <w:p>
      <w:pPr>
        <w:pStyle w:val="FirstParagraph"/>
      </w:pPr>
      <w:r>
        <w:t xml:space="preserve">Weaknesses:</w:t>
      </w:r>
    </w:p>
    <w:p>
      <w:pPr>
        <w:pStyle w:val="Compact"/>
        <w:numPr>
          <w:ilvl w:val="0"/>
          <w:numId w:val="1028"/>
        </w:numPr>
      </w:pPr>
      <w:r>
        <w:t xml:space="preserve">Slightly less powerful than the standard t-test when variances are equal</w:t>
      </w:r>
    </w:p>
    <w:p>
      <w:pPr>
        <w:pStyle w:val="Compact"/>
        <w:numPr>
          <w:ilvl w:val="0"/>
          <w:numId w:val="1028"/>
        </w:numPr>
      </w:pPr>
      <w:r>
        <w:t xml:space="preserve">Still assumes a normal distribution</w:t>
      </w:r>
    </w:p>
    <w:bookmarkEnd w:id="105"/>
    <w:bookmarkStart w:id="106"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29"/>
        </w:numPr>
      </w:pPr>
      <w:r>
        <w:t xml:space="preserve">Non-parametric: doesn’t assume normal distribution</w:t>
      </w:r>
    </w:p>
    <w:p>
      <w:pPr>
        <w:pStyle w:val="Compact"/>
        <w:numPr>
          <w:ilvl w:val="0"/>
          <w:numId w:val="1029"/>
        </w:numPr>
      </w:pPr>
      <w:r>
        <w:t xml:space="preserve">Robust against outliers</w:t>
      </w:r>
    </w:p>
    <w:p>
      <w:pPr>
        <w:pStyle w:val="Compact"/>
        <w:numPr>
          <w:ilvl w:val="0"/>
          <w:numId w:val="1029"/>
        </w:numPr>
      </w:pPr>
      <w:r>
        <w:t xml:space="preserve">Works with ordinal data</w:t>
      </w:r>
    </w:p>
    <w:p>
      <w:pPr>
        <w:pStyle w:val="FirstParagraph"/>
      </w:pPr>
      <w:r>
        <w:t xml:space="preserve">Weaknesses:</w:t>
      </w:r>
    </w:p>
    <w:p>
      <w:pPr>
        <w:pStyle w:val="Compact"/>
        <w:numPr>
          <w:ilvl w:val="0"/>
          <w:numId w:val="1030"/>
        </w:numPr>
      </w:pPr>
      <w:r>
        <w:t xml:space="preserve">Less statistical power than parametric tests</w:t>
      </w:r>
    </w:p>
    <w:p>
      <w:pPr>
        <w:pStyle w:val="Compact"/>
        <w:numPr>
          <w:ilvl w:val="0"/>
          <w:numId w:val="1030"/>
        </w:numPr>
      </w:pPr>
      <w:r>
        <w:t xml:space="preserve">Still assumes similar distributions and approximately equal variance</w:t>
      </w:r>
    </w:p>
    <w:p>
      <w:pPr>
        <w:pStyle w:val="Compact"/>
        <w:numPr>
          <w:ilvl w:val="0"/>
          <w:numId w:val="1030"/>
        </w:numPr>
      </w:pPr>
      <w:r>
        <w:t xml:space="preserve">Tests median differences rather than mean differences</w:t>
      </w:r>
    </w:p>
    <w:p>
      <w:pPr>
        <w:pStyle w:val="FirstParagraph"/>
      </w:pPr>
      <w:r>
        <w:rPr>
          <w:b/>
          <w:bCs/>
        </w:rPr>
        <w:t xml:space="preserve">4. Permutation tests</w:t>
      </w:r>
    </w:p>
    <w:p>
      <w:pPr>
        <w:pStyle w:val="BodyText"/>
      </w:pPr>
      <w:r>
        <w:t xml:space="preserve">Strengths:</w:t>
      </w:r>
    </w:p>
    <w:p>
      <w:pPr>
        <w:pStyle w:val="Compact"/>
        <w:numPr>
          <w:ilvl w:val="0"/>
          <w:numId w:val="1031"/>
        </w:numPr>
      </w:pPr>
      <w:r>
        <w:t xml:space="preserve">Distribution-free: doesn’t assume a specific distribution</w:t>
      </w:r>
    </w:p>
    <w:p>
      <w:pPr>
        <w:pStyle w:val="Compact"/>
        <w:numPr>
          <w:ilvl w:val="0"/>
          <w:numId w:val="1031"/>
        </w:numPr>
      </w:pPr>
      <w:r>
        <w:t xml:space="preserve">Can be applied to many types of test statistics</w:t>
      </w:r>
    </w:p>
    <w:p>
      <w:pPr>
        <w:pStyle w:val="Compact"/>
        <w:numPr>
          <w:ilvl w:val="0"/>
          <w:numId w:val="1031"/>
        </w:numPr>
      </w:pPr>
      <w:r>
        <w:t xml:space="preserve">Handles small sample sizes well</w:t>
      </w:r>
    </w:p>
    <w:p>
      <w:pPr>
        <w:pStyle w:val="Compact"/>
        <w:numPr>
          <w:ilvl w:val="0"/>
          <w:numId w:val="1031"/>
        </w:numPr>
      </w:pPr>
      <w:r>
        <w:t xml:space="preserve">Directly estimates p-values through resampling</w:t>
      </w:r>
    </w:p>
    <w:p>
      <w:pPr>
        <w:pStyle w:val="FirstParagraph"/>
      </w:pPr>
      <w:r>
        <w:t xml:space="preserve">Weaknesses:</w:t>
      </w:r>
    </w:p>
    <w:p>
      <w:pPr>
        <w:pStyle w:val="Compact"/>
        <w:numPr>
          <w:ilvl w:val="0"/>
          <w:numId w:val="1032"/>
        </w:numPr>
      </w:pPr>
      <w:r>
        <w:t xml:space="preserve">Computationally intensive</w:t>
      </w:r>
    </w:p>
    <w:p>
      <w:pPr>
        <w:pStyle w:val="Compact"/>
        <w:numPr>
          <w:ilvl w:val="0"/>
          <w:numId w:val="1032"/>
        </w:numPr>
      </w:pPr>
      <w:r>
        <w:t xml:space="preserve">Assumes exchangeability under the null hypothesis</w:t>
      </w:r>
    </w:p>
    <w:p>
      <w:pPr>
        <w:pStyle w:val="Compact"/>
        <w:numPr>
          <w:ilvl w:val="0"/>
          <w:numId w:val="1032"/>
        </w:numPr>
      </w:pPr>
      <w:r>
        <w:t xml:space="preserve">Requires similar distributions and equal variance</w:t>
      </w:r>
    </w:p>
    <w:bookmarkEnd w:id="106"/>
    <w:bookmarkStart w:id="109"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76" Target="media/rId76.png" /><Relationship Type="http://schemas.openxmlformats.org/officeDocument/2006/relationships/image" Id="rId89" Target="media/rId89.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2026-08-28T18:19:20Z</dcterms:created>
  <dcterms:modified xsi:type="dcterms:W3CDTF">2026-08-28T18:19:20Z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Rank-based tests</vt:lpwstr>
  </property>
  <property fmtid="{D5CDD505-2E9C-101B-9397-08002B2CF9AE}" pid="14" name="toc-title">
    <vt:lpwstr>Table of contents</vt:lpwstr>
  </property>
  <property fmtid="{D5CDD505-2E9C-101B-9397-08002B2CF9AE}" pid="15" name="week">
    <vt:lpwstr>4</vt:lpwstr>
  </property>
</Properties>
</file>