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29.png" ContentType="image/png"/>
  <Override PartName="/word/media/rId61.png" ContentType="image/png"/>
  <Override PartName="/word/media/rId93.png" ContentType="image/png"/>
  <Override PartName="/word/media/rId101.png" ContentType="image/png"/>
  <Override PartName="/word/media/rId24.png" ContentType="image/png"/>
  <Override PartName="/word/media/rId19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1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t xml:space="preserve"> </w:t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33" w:name="part-1-asking-a-good-question"/>
    <w:p>
      <w:pPr>
        <w:pStyle w:val="Heading1"/>
      </w:pPr>
      <w:r>
        <w:t xml:space="preserve">Part 1 · Asking a Good Question</w:t>
      </w:r>
    </w:p>
    <w:bookmarkStart w:id="18" w:name="what-makes-something-science"/>
    <w:p>
      <w:pPr>
        <w:pStyle w:val="Heading3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8"/>
    <w:bookmarkStart w:id="32" w:name="X2117c0bba3cb32f9be7cea54b5e5920db51d2e0"/>
    <w:p>
      <w:pPr>
        <w:pStyle w:val="Heading3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inductive_phas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deductive_phas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2"/>
    <w:bookmarkEnd w:id="33"/>
    <w:bookmarkStart w:id="39" w:name="our-class-question"/>
    <w:p>
      <w:pPr>
        <w:pStyle w:val="Heading1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north/sheltered (lee)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south/exposed (windward)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No difference in needle length between the two sides.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  <w:r>
        <w:t xml:space="preserve"> </w:t>
      </w:r>
      <w:r>
        <w:t xml:space="preserve">Needle length differs between the two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1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  <w:r>
        <w:t xml:space="preserve"> </w:t>
      </w:r>
      <w:r>
        <w:t xml:space="preserve">No — that tree could just happen to have short needles. 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  <w:r>
        <w:t xml:space="preserve"> </w:t>
      </w: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group collects needles from the lee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windward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/>
        </w:tc>
      </w:tr>
    </w:tbl>
    <w:bookmarkEnd w:id="44"/>
    <w:bookmarkStart w:id="57" w:name="part-2-organizing-your-project"/>
    <w:p>
      <w:pPr>
        <w:pStyle w:val="Heading1"/>
      </w:pPr>
      <w:r>
        <w:t xml:space="preserve">Part 2 · Organizing Your Project</w:t>
      </w:r>
    </w:p>
    <w:bookmarkStart w:id="49" w:name="X5b59f89e691e9f161eefe2683b4b22c1a428bf4"/>
    <w:p>
      <w:pPr>
        <w:pStyle w:val="Heading3"/>
      </w:pPr>
      <w:r>
        <w:t xml:space="preserve">Data is the raw material — treat it that way</w:t>
      </w:r>
    </w:p>
    <w:p>
      <w:pPr>
        <w:pStyle w:val="Compact"/>
        <w:numPr>
          <w:ilvl w:val="0"/>
          <w:numId w:val="1009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09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text, all lowercase</w:t>
      </w:r>
    </w:p>
    <w:p>
      <w:pPr>
        <w:pStyle w:val="Compact"/>
        <w:numPr>
          <w:ilvl w:val="0"/>
          <w:numId w:val="1009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Module 2,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</w:t>
                  </w:r>
                </w:p>
              </w:tc>
            </w:tr>
          </w:tbl>
          <w:p/>
        </w:tc>
      </w:tr>
    </w:tbl>
    <w:bookmarkEnd w:id="49"/>
    <w:bookmarkStart w:id="56" w:name="one-folder-per-project"/>
    <w:p>
      <w:pPr>
        <w:pStyle w:val="Heading3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0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— 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 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 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Module 2.</w:t>
            </w:r>
          </w:p>
          <w:p/>
        </w:tc>
      </w:tr>
    </w:tbl>
    <w:bookmarkEnd w:id="56"/>
    <w:bookmarkEnd w:id="57"/>
    <w:bookmarkStart w:id="82" w:name="part-3-meet-r-and-positron"/>
    <w:p>
      <w:pPr>
        <w:pStyle w:val="Heading1"/>
      </w:pPr>
      <w:r>
        <w:t xml:space="preserve">Part 3 · Meet R and Positron</w:t>
      </w:r>
    </w:p>
    <w:bookmarkStart w:id="60" w:name="Xb4703b034abed12e82a73f9ae5809a6f1a85491"/>
    <w:p>
      <w:pPr>
        <w:pStyle w:val="Heading3"/>
      </w:pPr>
      <w:r>
        <w:t xml:space="preserve">R is the engine, Positron is the dashboard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1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0"/>
    <w:bookmarkStart w:id="66" w:name="r-as-a-calculator-and-storing-values"/>
    <w:p>
      <w:pPr>
        <w:pStyle w:val="Heading3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6"/>
    <w:bookmarkStart w:id="71" w:name="names-comments-and-functions"/>
    <w:p>
      <w:pPr>
        <w:pStyle w:val="Heading3"/>
      </w:pPr>
      <w:r>
        <w:t xml:space="preserve">Names, comments, and functions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2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help:</w:t>
      </w:r>
    </w:p>
    <w:p>
      <w:pPr>
        <w:pStyle w:val="SourceCode"/>
      </w:pP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1"/>
    <w:bookmarkStart w:id="76" w:name="vectors-data-types-and-scripts"/>
    <w:p>
      <w:pPr>
        <w:pStyle w:val="Heading3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6"/>
    <w:bookmarkStart w:id="81" w:name="packages-extending-what-r-can-do"/>
    <w:p>
      <w:pPr>
        <w:pStyle w:val="Heading3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1"/>
    <w:bookmarkEnd w:id="82"/>
    <w:bookmarkStart w:id="114" w:name="X544fa1e616871e1d984e8ac080c2006af492e09"/>
    <w:p>
      <w:pPr>
        <w:pStyle w:val="Heading1"/>
      </w:pPr>
      <w:r>
        <w:t xml:space="preserve">Part 4 · Load Data and Make Your First Plot</w:t>
      </w:r>
    </w:p>
    <w:bookmarkStart w:id="87" w:name="bring-the-data-in"/>
    <w:p>
      <w:pPr>
        <w:pStyle w:val="Heading3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(sheltered/lee)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(exposed/windward)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"lee"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"wind"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7"/>
    <w:bookmarkStart w:id="92" w:name="look-before-you-trust-it"/>
    <w:p>
      <w:pPr>
        <w:pStyle w:val="Heading3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. Two columns encoding the same grouping. Useful redundancy, or something to simplify? We’ll revisit this in Module 2.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2"/>
    <w:bookmarkStart w:id="100" w:name="your-first-plot-ggplot-built-in-layers"/>
    <w:p>
      <w:pPr>
        <w:pStyle w:val="Heading3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4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0"/>
    <w:bookmarkStart w:id="108" w:name="one-layer-at-a-time"/>
    <w:p>
      <w:pPr>
        <w:pStyle w:val="Heading3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8"/>
    <w:bookmarkStart w:id="113" w:name="save-your-plot"/>
    <w:p>
      <w:pPr>
        <w:pStyle w:val="Heading3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3"/>
    <w:bookmarkEnd w:id="114"/>
    <w:bookmarkStart w:id="119" w:name="wrap-up"/>
    <w:p>
      <w:pPr>
        <w:pStyle w:val="Heading1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8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18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18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18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2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61" Target="media/rId61.png" /><Relationship Type="http://schemas.openxmlformats.org/officeDocument/2006/relationships/image" Id="rId93" Target="media/rId93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19" Target="media/rId19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2026-08-19T22:23:33Z</dcterms:created>
  <dcterms:modified xsi:type="dcterms:W3CDTF">2026-08-19T22:23:33Z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resources">
    <vt:lpwstr/>
  </property>
  <property fmtid="{D5CDD505-2E9C-101B-9397-08002B2CF9AE}" pid="13" name="subtitle">
    <vt:lpwstr>Asking a question, meeting R, and making your first graph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