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29.png" ContentType="image/png"/>
  <Override PartName="/word/media/rId18.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T-Test</w:t>
      </w:r>
    </w:p>
    <w:p>
      <w:pPr>
        <w:pStyle w:val="Subtitle"/>
      </w:pPr>
      <w:r>
        <w:t xml:space="preserve">Parametric t-test</w:t>
      </w:r>
    </w:p>
    <w:p>
      <w:pPr>
        <w:pStyle w:val="Author"/>
      </w:pPr>
      <w:r>
        <w:t xml:space="preserve">Bill Perry</w:t>
      </w:r>
    </w:p>
    <w:p>
      <w:pPr>
        <w:pStyle w:val="FirstParagraph"/>
      </w:pPr>
      <w:hyperlink r:id="rId9">
        <w:r>
          <w:rPr>
            <w:rStyle w:val="Hyperlink"/>
          </w:rPr>
          <w:t xml:space="preserve">📥 Download the R script</w:t>
        </w:r>
      </w:hyperlink>
    </w:p>
    <w:bookmarkStart w:id="12" w:name="introduction-to-two-sample-t-test"/>
    <w:p>
      <w:pPr>
        <w:pStyle w:val="Heading1"/>
      </w:pPr>
      <w:r>
        <w:t xml:space="preserve">Introduction to Two-Sample t-Test</w:t>
      </w:r>
    </w:p>
    <w:bookmarkStart w:id="10" w:name="background-and-theory"/>
    <w:p>
      <w:pPr>
        <w:pStyle w:val="Heading2"/>
      </w:pPr>
      <w:r>
        <w:t xml:space="preserve">Background and Theory</w:t>
      </w:r>
    </w:p>
    <w:p>
      <w:pPr>
        <w:pStyle w:val="FirstParagraph"/>
      </w:pPr>
      <w:r>
        <w:t xml:space="preserve">The two-sample t-test (also known as independent samples t-test) is used to determine whether there is a statistically significant difference between the means of two independent groups. In this analysis, we will examine whether there are significant differences in the total length of slimy sculpin fish between two different lakes.</w:t>
      </w:r>
    </w:p>
    <w:p>
      <w:pPr>
        <w:pStyle w:val="BodyText"/>
      </w:pPr>
      <w:r>
        <w:t xml:space="preserve">The two-sample t-test makes the following comparison: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Where:</w:t>
      </w:r>
    </w:p>
    <w:p>
      <w:pPr>
        <w:numPr>
          <w:ilvl w:val="0"/>
          <w:numId w:val="1001"/>
        </w:numPr>
      </w:pPr>
      <w:r>
        <w:t xml:space="preserve">-</w:t>
      </w:r>
      <w:r>
        <w:t xml:space="preserve"> </w:t>
      </w:r>
      <m:oMath>
        <m:sSub>
          <m:e>
            <m:r>
              <m:t>H</m:t>
            </m:r>
          </m:e>
          <m:sub>
            <m:r>
              <m:t>0</m:t>
            </m:r>
          </m:sub>
        </m:sSub>
      </m:oMath>
      <w:r>
        <w:t xml:space="preserve"> </w:t>
      </w:r>
      <w:r>
        <w:t xml:space="preserve">is the null hypothesis stating that the population means are equal</w:t>
      </w:r>
    </w:p>
    <w:p>
      <w:pPr>
        <w:numPr>
          <w:ilvl w:val="0"/>
          <w:numId w:val="1001"/>
        </w:numPr>
      </w:pPr>
      <w:r>
        <w:t xml:space="preserve">-</w:t>
      </w:r>
      <w:r>
        <w:t xml:space="preserve"> </w:t>
      </w:r>
      <m:oMath>
        <m:sSub>
          <m:e>
            <m:r>
              <m:t>H</m:t>
            </m:r>
          </m:e>
          <m:sub>
            <m:r>
              <m:t>A</m:t>
            </m:r>
          </m:sub>
        </m:sSub>
      </m:oMath>
      <w:r>
        <w:t xml:space="preserve"> </w:t>
      </w:r>
      <w:r>
        <w:t xml:space="preserve">is the alternative hypothesis stating that the population means are different</w:t>
      </w:r>
    </w:p>
    <w:p>
      <w:pPr>
        <w:numPr>
          <w:ilvl w:val="0"/>
          <w:numId w:val="1001"/>
        </w:numPr>
      </w:pPr>
      <w:r>
        <w:t xml:space="preserve">-</w:t>
      </w:r>
      <w:r>
        <w:t xml:space="preserve"> </w:t>
      </w:r>
      <m:oMath>
        <m:sSub>
          <m:e>
            <m:r>
              <m:t>μ</m:t>
            </m:r>
          </m:e>
          <m:sub>
            <m:r>
              <m:t>1</m:t>
            </m:r>
          </m:sub>
        </m:sSub>
      </m:oMath>
      <w:r>
        <w:t xml:space="preserve"> </w:t>
      </w:r>
      <w:r>
        <w:t xml:space="preserve">is the population mean of the first group</w:t>
      </w:r>
    </w:p>
    <w:p>
      <w:pPr>
        <w:numPr>
          <w:ilvl w:val="0"/>
          <w:numId w:val="1001"/>
        </w:numPr>
      </w:pPr>
      <w:r>
        <w:t xml:space="preserve">-</w:t>
      </w:r>
      <w:r>
        <w:t xml:space="preserve"> </w:t>
      </w:r>
      <m:oMath>
        <m:sSub>
          <m:e>
            <m:r>
              <m:t>μ</m:t>
            </m:r>
          </m:e>
          <m:sub>
            <m:r>
              <m:t>2</m:t>
            </m:r>
          </m:sub>
        </m:sSub>
      </m:oMath>
      <w:r>
        <w:t xml:space="preserve"> </w:t>
      </w:r>
      <w:r>
        <w:t xml:space="preserve">is the population mean of the second group</w:t>
      </w:r>
    </w:p>
    <w:bookmarkEnd w:id="10"/>
    <w:bookmarkStart w:id="11" w:name="formula"/>
    <w:p>
      <w:pPr>
        <w:pStyle w:val="Heading2"/>
      </w:pPr>
      <w:r>
        <w:t xml:space="preserve">Formula</w:t>
      </w:r>
    </w:p>
    <w:p>
      <w:pPr>
        <w:pStyle w:val="FirstParagraph"/>
      </w:pPr>
      <w:r>
        <w:t xml:space="preserve">The formula for the two-sample t-test with equal variances (pooled variance) is:</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f>
                    <m:fPr>
                      <m:type m:val="bar"/>
                    </m:fPr>
                    <m:num>
                      <m:r>
                        <m:t>1</m:t>
                      </m:r>
                    </m:num>
                    <m:den>
                      <m:sSub>
                        <m:e>
                          <m:r>
                            <m:t>n</m:t>
                          </m:r>
                        </m:e>
                        <m:sub>
                          <m:r>
                            <m:t>1</m:t>
                          </m:r>
                        </m:sub>
                      </m:sSub>
                    </m:den>
                  </m:f>
                  <m:r>
                    <m:rPr>
                      <m:sty m:val="p"/>
                    </m:rPr>
                    <m:t>+</m:t>
                  </m:r>
                  <m:f>
                    <m:fPr>
                      <m:type m:val="bar"/>
                    </m:fPr>
                    <m:num>
                      <m:r>
                        <m:t>1</m:t>
                      </m:r>
                    </m:num>
                    <m:den>
                      <m:sSub>
                        <m:e>
                          <m:r>
                            <m:t>n</m:t>
                          </m:r>
                        </m:e>
                        <m:sub>
                          <m:r>
                            <m:t>2</m:t>
                          </m:r>
                        </m:sub>
                      </m:sSub>
                    </m:den>
                  </m:f>
                </m:e>
              </m:rad>
            </m:den>
          </m:f>
        </m:oMath>
      </m:oMathPara>
    </w:p>
    <w:p>
      <w:pPr>
        <w:pStyle w:val="FirstParagraph"/>
      </w:pPr>
      <w:r>
        <w:t xml:space="preserve">Where:</w:t>
      </w:r>
    </w:p>
    <w:p>
      <w:pPr>
        <w:numPr>
          <w:ilvl w:val="0"/>
          <w:numId w:val="1002"/>
        </w:numPr>
      </w:pPr>
      <w:r>
        <w:t xml:space="preserve">-</w:t>
      </w:r>
      <w:r>
        <w:t xml:space="preserve"> </w:t>
      </w:r>
      <m:oMath>
        <m:sSub>
          <m:e>
            <m:acc>
              <m:accPr>
                <m:chr m:val="‾"/>
              </m:accPr>
              <m:e>
                <m:r>
                  <m:t>x</m:t>
                </m:r>
              </m:e>
            </m:acc>
          </m:e>
          <m:sub>
            <m:r>
              <m:t>1</m:t>
            </m:r>
          </m:sub>
        </m:sSub>
      </m:oMath>
      <w:r>
        <w:t xml:space="preserve"> </w:t>
      </w:r>
      <w:r>
        <w:t xml:space="preserve">is the sample mean of the first group</w:t>
      </w:r>
    </w:p>
    <w:p>
      <w:pPr>
        <w:numPr>
          <w:ilvl w:val="0"/>
          <w:numId w:val="1002"/>
        </w:numPr>
      </w:pPr>
      <w:r>
        <w:t xml:space="preserve">-</w:t>
      </w:r>
      <w:r>
        <w:t xml:space="preserve"> </w:t>
      </w:r>
      <m:oMath>
        <m:sSub>
          <m:e>
            <m:acc>
              <m:accPr>
                <m:chr m:val="‾"/>
              </m:accPr>
              <m:e>
                <m:r>
                  <m:t>x</m:t>
                </m:r>
              </m:e>
            </m:acc>
          </m:e>
          <m:sub>
            <m:r>
              <m:t>2</m:t>
            </m:r>
          </m:sub>
        </m:sSub>
      </m:oMath>
      <w:r>
        <w:t xml:space="preserve"> </w:t>
      </w:r>
      <w:r>
        <w:t xml:space="preserve">is the sample mean of the second group</w:t>
      </w:r>
    </w:p>
    <w:p>
      <w:pPr>
        <w:numPr>
          <w:ilvl w:val="0"/>
          <w:numId w:val="1002"/>
        </w:numPr>
      </w:pPr>
      <w:r>
        <w:t xml:space="preserve">-</w:t>
      </w:r>
      <w:r>
        <w:t xml:space="preserve"> </w:t>
      </w:r>
      <m:oMath>
        <m:sSub>
          <m:e>
            <m:r>
              <m:t>s</m:t>
            </m:r>
          </m:e>
          <m:sub>
            <m:r>
              <m:t>p</m:t>
            </m:r>
          </m:sub>
        </m:sSub>
      </m:oMath>
      <w:r>
        <w:t xml:space="preserve"> </w:t>
      </w:r>
      <w:r>
        <w:t xml:space="preserve">is the pooled standard deviation</w:t>
      </w:r>
    </w:p>
    <w:p>
      <w:pPr>
        <w:numPr>
          <w:ilvl w:val="0"/>
          <w:numId w:val="1002"/>
        </w:numPr>
      </w:pPr>
      <w:r>
        <w:t xml:space="preserve">-</w:t>
      </w:r>
      <w:r>
        <w:t xml:space="preserve"> </w:t>
      </w:r>
      <m:oMath>
        <m:sSub>
          <m:e>
            <m:r>
              <m:t>n</m:t>
            </m:r>
          </m:e>
          <m:sub>
            <m:r>
              <m:t>1</m:t>
            </m:r>
          </m:sub>
        </m:sSub>
      </m:oMath>
      <w:r>
        <w:t xml:space="preserve"> </w:t>
      </w:r>
      <w:r>
        <w:t xml:space="preserve">is the sample size of the first group</w:t>
      </w:r>
    </w:p>
    <w:p>
      <w:pPr>
        <w:numPr>
          <w:ilvl w:val="0"/>
          <w:numId w:val="1002"/>
        </w:numPr>
      </w:pPr>
      <w:r>
        <w:t xml:space="preserve">-</w:t>
      </w:r>
      <w:r>
        <w:t xml:space="preserve"> </w:t>
      </w:r>
      <m:oMath>
        <m:sSub>
          <m:e>
            <m:r>
              <m:t>n</m:t>
            </m:r>
          </m:e>
          <m:sub>
            <m:r>
              <m:t>2</m:t>
            </m:r>
          </m:sub>
        </m:sSub>
      </m:oMath>
      <w:r>
        <w:t xml:space="preserve"> </w:t>
      </w:r>
      <w:r>
        <w:t xml:space="preserve">is the sample size of the second group</w:t>
      </w:r>
    </w:p>
    <w:p>
      <w:pPr>
        <w:pStyle w:val="FirstParagraph"/>
      </w:pPr>
      <w:r>
        <w:t xml:space="preserve">The pooled standard deviation is calculated as:</w:t>
      </w:r>
    </w:p>
    <w:p>
      <w:pPr>
        <w:pStyle w:val="BodyText"/>
      </w:pPr>
      <m:oMathPara>
        <m:oMathParaPr>
          <m:jc m:val="center"/>
        </m:oMathParaPr>
        <m:oMath>
          <m:sSub>
            <m:e>
              <m:r>
                <m:t>s</m:t>
              </m:r>
            </m:e>
            <m:sub>
              <m:r>
                <m:t>p</m:t>
              </m:r>
            </m:sub>
          </m:sSub>
          <m:r>
            <m:rPr>
              <m:sty m:val="p"/>
            </m:rPr>
            <m:t>=</m:t>
          </m:r>
          <m:rad>
            <m:radPr>
              <m:degHide m:val="on"/>
            </m:radPr>
            <m:deg/>
            <m:e>
              <m:f>
                <m:fPr>
                  <m:type m:val="bar"/>
                </m:fPr>
                <m:num>
                  <m:r>
                    <m:rPr>
                      <m:sty m:val="p"/>
                    </m:rPr>
                    <m:t>(</m:t>
                  </m:r>
                  <m:sSub>
                    <m:e>
                      <m:r>
                        <m:t>n</m:t>
                      </m:r>
                    </m:e>
                    <m:sub>
                      <m:r>
                        <m:t>1</m:t>
                      </m:r>
                    </m:sub>
                  </m:sSub>
                  <m:r>
                    <m:rPr>
                      <m:sty m:val="p"/>
                    </m:rPr>
                    <m:t>−</m:t>
                  </m:r>
                  <m:r>
                    <m:t>1</m:t>
                  </m:r>
                  <m:r>
                    <m:rPr>
                      <m:sty m:val="p"/>
                    </m:rPr>
                    <m:t>)</m:t>
                  </m:r>
                  <m:sSubSup>
                    <m:e>
                      <m:r>
                        <m:t>s</m:t>
                      </m:r>
                    </m:e>
                    <m:sub>
                      <m:r>
                        <m:t>1</m:t>
                      </m:r>
                    </m:sub>
                    <m:sup>
                      <m:r>
                        <m:t>2</m:t>
                      </m:r>
                    </m:sup>
                  </m:sSubSup>
                  <m:r>
                    <m:rPr>
                      <m:sty m:val="p"/>
                    </m:rPr>
                    <m:t>+</m:t>
                  </m:r>
                  <m:r>
                    <m:rPr>
                      <m:sty m:val="p"/>
                    </m:rPr>
                    <m:t>(</m:t>
                  </m:r>
                  <m:sSub>
                    <m:e>
                      <m:r>
                        <m:t>n</m:t>
                      </m:r>
                    </m:e>
                    <m:sub>
                      <m:r>
                        <m:t>2</m:t>
                      </m:r>
                    </m:sub>
                  </m:sSub>
                  <m:r>
                    <m:rPr>
                      <m:sty m:val="p"/>
                    </m:rPr>
                    <m:t>−</m:t>
                  </m:r>
                  <m:r>
                    <m:t>1</m:t>
                  </m:r>
                  <m:r>
                    <m:rPr>
                      <m:sty m:val="p"/>
                    </m:rPr>
                    <m:t>)</m:t>
                  </m:r>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e>
          </m:rad>
        </m:oMath>
      </m:oMathPara>
    </w:p>
    <w:p>
      <w:pPr>
        <w:pStyle w:val="FirstParagraph"/>
      </w:pPr>
      <w:r>
        <w:t xml:space="preserve">Where:</w:t>
      </w:r>
    </w:p>
    <w:p>
      <w:pPr>
        <w:numPr>
          <w:ilvl w:val="0"/>
          <w:numId w:val="1003"/>
        </w:numPr>
      </w:pPr>
      <w:r>
        <w:t xml:space="preserve">-</w:t>
      </w:r>
      <w:r>
        <w:t xml:space="preserve"> </w:t>
      </w:r>
      <m:oMath>
        <m:sSubSup>
          <m:e>
            <m:r>
              <m:t>s</m:t>
            </m:r>
          </m:e>
          <m:sub>
            <m:r>
              <m:t>1</m:t>
            </m:r>
          </m:sub>
          <m:sup>
            <m:r>
              <m:t>2</m:t>
            </m:r>
          </m:sup>
        </m:sSubSup>
      </m:oMath>
      <w:r>
        <w:t xml:space="preserve"> </w:t>
      </w:r>
      <w:r>
        <w:t xml:space="preserve">is the variance of the first group</w:t>
      </w:r>
    </w:p>
    <w:p>
      <w:pPr>
        <w:numPr>
          <w:ilvl w:val="0"/>
          <w:numId w:val="1003"/>
        </w:numPr>
      </w:pPr>
      <w:r>
        <w:t xml:space="preserve">-</w:t>
      </w:r>
      <w:r>
        <w:t xml:space="preserve"> </w:t>
      </w:r>
      <m:oMath>
        <m:sSubSup>
          <m:e>
            <m:r>
              <m:t>s</m:t>
            </m:r>
          </m:e>
          <m:sub>
            <m:r>
              <m:t>2</m:t>
            </m:r>
          </m:sub>
          <m:sup>
            <m:r>
              <m:t>2</m:t>
            </m:r>
          </m:sup>
        </m:sSubSup>
      </m:oMath>
      <w:r>
        <w:t xml:space="preserve"> </w:t>
      </w:r>
      <w:r>
        <w:t xml:space="preserve">is the variance of the second group</w:t>
      </w:r>
    </w:p>
    <w:p>
      <w:pPr>
        <w:numPr>
          <w:ilvl w:val="0"/>
          <w:numId w:val="1003"/>
        </w:numPr>
      </w:pPr>
      <w:r>
        <w:t xml:space="preserve">The degrees of freedom (df) for this test is</w:t>
      </w:r>
      <w:r>
        <w:t xml:space="preserve"> </w:t>
      </w:r>
      <m:oMath>
        <m:sSub>
          <m:e>
            <m:r>
              <m:t>n</m:t>
            </m:r>
          </m:e>
          <m:sub>
            <m:r>
              <m:t>1</m:t>
            </m:r>
          </m:sub>
        </m:sSub>
        <m:r>
          <m:rPr>
            <m:sty m:val="p"/>
          </m:rPr>
          <m:t>+</m:t>
        </m:r>
        <m:sSub>
          <m:e>
            <m:r>
              <m:t>n</m:t>
            </m:r>
          </m:e>
          <m:sub>
            <m:r>
              <m:t>2</m:t>
            </m:r>
          </m:sub>
        </m:sSub>
        <m:r>
          <m:rPr>
            <m:sty m:val="p"/>
          </m:rPr>
          <m:t>−</m:t>
        </m:r>
        <m:r>
          <m:t>2</m:t>
        </m:r>
      </m:oMath>
      <w:r>
        <w:t xml:space="preserve">.</w:t>
      </w:r>
    </w:p>
    <w:p>
      <w:pPr>
        <w:pStyle w:val="FirstParagraph"/>
      </w:pPr>
      <w:r>
        <w:rPr>
          <w:b/>
          <w:bCs/>
        </w:rPr>
        <w:t xml:space="preserve">For unequal variances (Welch’s t-test), the formula is slightly different:</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m:oMathPara>
    </w:p>
    <w:p>
      <w:pPr>
        <w:pStyle w:val="FirstParagraph"/>
      </w:pPr>
      <w:r>
        <w:rPr>
          <w:b/>
          <w:bCs/>
        </w:rPr>
        <w:t xml:space="preserve">With degrees of freedom approximated using the Welch-Satterthwaite equation:</w:t>
      </w:r>
    </w:p>
    <w:p>
      <w:pPr>
        <w:pStyle w:val="BodyText"/>
      </w:pPr>
      <m:oMathPara>
        <m:oMathParaPr>
          <m:jc m:val="center"/>
        </m:oMathPara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bookmarkEnd w:id="11"/>
    <w:bookmarkEnd w:id="12"/>
    <w:bookmarkStart w:id="27" w:name="data-analysis"/>
    <w:p>
      <w:pPr>
        <w:pStyle w:val="Heading1"/>
      </w:pPr>
      <w:r>
        <w:t xml:space="preserve">Data Analysis</w:t>
      </w:r>
    </w:p>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CommentTok"/>
        </w:rPr>
        <w:t xml:space="preserve"># install.packages("gt")</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3"/>
    <w:bookmarkStart w:id="16"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Start w:id="14" w:name="manual-summary-method"/>
    <w:p>
      <w:pPr>
        <w:pStyle w:val="Heading3"/>
      </w:pPr>
      <w:r>
        <w:t xml:space="preserve">Manual Summary Method</w:t>
      </w:r>
    </w:p>
    <w:p>
      <w:pPr>
        <w:pStyle w:val="SourceCode"/>
      </w:pPr>
      <w:r>
        <w:rPr>
          <w:rStyle w:val="NormalTok"/>
        </w:rPr>
        <w:t xml:space="preserve">stats_df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mean_length_mm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rPr>
          <w:rStyle w:val="DecValTok"/>
        </w:rPr>
        <w:t xml:space="preserve">2</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stats_df</w:t>
      </w:r>
    </w:p>
    <w:p>
      <w:pPr>
        <w:pStyle w:val="SourceCode"/>
      </w:pPr>
      <w:r>
        <w:rPr>
          <w:rStyle w:val="VerbatimChar"/>
        </w:rPr>
        <w:t xml:space="preserve"># A tibble: 2 × 5</w:t>
      </w:r>
      <w:r>
        <w:br/>
      </w:r>
      <w:r>
        <w:rPr>
          <w:rStyle w:val="VerbatimChar"/>
        </w:rPr>
        <w:t xml:space="preserve">  lake  mean_length_mm stddev_length_mm stderr_length_mm coef_var_length_mm</w:t>
      </w:r>
      <w:r>
        <w:br/>
      </w:r>
      <w:r>
        <w:rPr>
          <w:rStyle w:val="VerbatimChar"/>
        </w:rPr>
        <w:t xml:space="preserve">  &lt;chr&gt;          &lt;dbl&gt;            &lt;dbl&gt;            &lt;dbl&gt;              &lt;dbl&gt;</w:t>
      </w:r>
      <w:r>
        <w:br/>
      </w:r>
      <w:r>
        <w:rPr>
          <w:rStyle w:val="VerbatimChar"/>
        </w:rPr>
        <w:t xml:space="preserve">1 NE 14           47.3             10.5             0.28               22.2</w:t>
      </w:r>
      <w:r>
        <w:br/>
      </w:r>
      <w:r>
        <w:rPr>
          <w:rStyle w:val="VerbatimChar"/>
        </w:rPr>
        <w:t xml:space="preserve">2 S 07            55.6             12.6             0.17               22.8</w:t>
      </w:r>
    </w:p>
    <w:bookmarkEnd w:id="14"/>
    <w:bookmarkStart w:id="15" w:name="fancy-table-with-the-tidytable-package"/>
    <w:p>
      <w:pPr>
        <w:pStyle w:val="Heading3"/>
      </w:pPr>
      <w:r>
        <w:t xml:space="preserve">Fancy Table with the tidytable package</w:t>
      </w:r>
    </w:p>
    <w:p>
      <w:pPr>
        <w:pStyle w:val="SourceCode"/>
      </w:pPr>
      <w:r>
        <w:rPr>
          <w:rStyle w:val="NormalTok"/>
        </w:rPr>
        <w:t xml:space="preserve">gt_table </w:t>
      </w:r>
      <w:r>
        <w:rPr>
          <w:rStyle w:val="OtherTok"/>
        </w:rPr>
        <w:t xml:space="preserve">&lt;-</w:t>
      </w:r>
      <w:r>
        <w:rPr>
          <w:rStyle w:val="NormalTok"/>
        </w:rPr>
        <w:t xml:space="preserve"> stats_df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1. Sculpin Length Statistics by Lake"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lake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mean_length_mm =</w:t>
      </w:r>
      <w:r>
        <w:rPr>
          <w:rStyle w:val="NormalTok"/>
        </w:rPr>
        <w:t xml:space="preserve"> </w:t>
      </w:r>
      <w:r>
        <w:rPr>
          <w:rStyle w:val="StringTok"/>
        </w:rPr>
        <w:t xml:space="preserve">"Mean Length (mm)"</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StringTok"/>
        </w:rPr>
        <w:t xml:space="preserve">"Std Dev (mm)"</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StringTok"/>
        </w:rPr>
        <w:t xml:space="preserve">"Std Error (mm)"</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rPr>
          <w:rStyle w:val="StringTok"/>
        </w:rPr>
        <w:t xml:space="preserve">"CV (%)"</w:t>
      </w:r>
      <w:r>
        <w:br/>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column_labels.border.bottom.style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table_body.border.top.style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table_body.hlines.style =</w:t>
      </w:r>
      <w:r>
        <w:rPr>
          <w:rStyle w:val="NormalTok"/>
        </w:rPr>
        <w:t xml:space="preserve"> </w:t>
      </w:r>
      <w:r>
        <w:rPr>
          <w:rStyle w:val="StringTok"/>
        </w:rPr>
        <w:t xml:space="preserve">"none"</w:t>
      </w:r>
      <w:r>
        <w:rPr>
          <w:rStyle w:val="NormalTok"/>
        </w:rPr>
        <w:t xml:space="preserve">)</w:t>
      </w:r>
      <w:r>
        <w:rPr>
          <w:rStyle w:val="SpecialCharTok"/>
        </w:rPr>
        <w:t xml:space="preserve">%&gt;%</w:t>
      </w:r>
      <w:r>
        <w:br/>
      </w:r>
      <w:r>
        <w:rPr>
          <w:rStyle w:val="NormalTok"/>
        </w:rPr>
        <w:t xml:space="preserve">   </w:t>
      </w:r>
      <w:r>
        <w:rPr>
          <w:rStyle w:val="FunctionTok"/>
        </w:rPr>
        <w:t xml:space="preserve">opt_align_table_header</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gt_table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1. Sculpin Length Statistics by Lake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Lake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Length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Dev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 (mm)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CV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22.77</w:t>
            </w:r>
          </w:p>
        </w:tc>
      </w:tr>
    </w:tbl>
    <w:bookmarkEnd w:id="15"/>
    <w:bookmarkEnd w:id="16"/>
    <w:bookmarkStart w:id="17" w:name="section"/>
    <w:p>
      <w:pPr>
        <w:pStyle w:val="Heading2"/>
      </w:pPr>
    </w:p>
    <w:bookmarkEnd w:id="17"/>
    <w:bookmarkStart w:id="26" w:name="data-visualization"/>
    <w:p>
      <w:pPr>
        <w:pStyle w:val="Heading2"/>
      </w:pPr>
      <w:r>
        <w:t xml:space="preserve">Data Visualization</w:t>
      </w:r>
    </w:p>
    <w:bookmarkStart w:id="21" w:name="box-plot-with-individual-data-points"/>
    <w:p>
      <w:pPr>
        <w:pStyle w:val="Heading3"/>
      </w:pPr>
      <w:r>
        <w:t xml:space="preserve">Box Plot with Individual Data Points</w:t>
      </w:r>
    </w:p>
    <w:p>
      <w:pPr>
        <w:pStyle w:val="FirstParagraph"/>
      </w:pPr>
      <w:r>
        <w:t xml:space="preserve">Let’s create a box plot with individual data points to visualize the distribution of total length in the two lakes:</w:t>
      </w:r>
    </w:p>
    <w:p>
      <w:pPr>
        <w:pStyle w:val="SourceCode"/>
      </w:pPr>
      <w:r>
        <w:rPr>
          <w:rStyle w:val="CommentTok"/>
        </w:rPr>
        <w:t xml:space="preserve"># Create boxplot with individual points</w:t>
      </w:r>
      <w:r>
        <w:br/>
      </w:r>
      <w:r>
        <w:rPr>
          <w:rStyle w:val="NormalTok"/>
        </w:rPr>
        <w:t xml:space="preserve">sculpin_histo_plot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Length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sculpin_histo_plot</w:t>
      </w:r>
    </w:p>
    <w:p>
      <w:pPr>
        <w:pStyle w:val="FirstParagraph"/>
      </w:pPr>
      <w:r>
        <w:drawing>
          <wp:inline>
            <wp:extent cx="4572000" cy="4572000"/>
            <wp:effectExtent b="0" l="0" r="0" t="0"/>
            <wp:docPr descr="" title="" id="19" name="Picture"/>
            <a:graphic>
              <a:graphicData uri="http://schemas.openxmlformats.org/drawingml/2006/picture">
                <pic:pic>
                  <pic:nvPicPr>
                    <pic:cNvPr descr="two_sample_ttest_files/figure-docx/unnamed-chunk-4-1.png" id="20" name="Picture"/>
                    <pic:cNvPicPr>
                      <a:picLocks noChangeArrowheads="1" noChangeAspect="1"/>
                    </pic:cNvPicPr>
                  </pic:nvPicPr>
                  <pic:blipFill>
                    <a:blip r:embed="rId18"/>
                    <a:stretch>
                      <a:fillRect/>
                    </a:stretch>
                  </pic:blipFill>
                  <pic:spPr bwMode="auto">
                    <a:xfrm>
                      <a:off x="0" y="0"/>
                      <a:ext cx="4572000" cy="4572000"/>
                    </a:xfrm>
                    <a:prstGeom prst="rect">
                      <a:avLst/>
                    </a:prstGeom>
                    <a:noFill/>
                    <a:ln w="9525">
                      <a:noFill/>
                      <a:headEnd/>
                      <a:tailEnd/>
                    </a:ln>
                  </pic:spPr>
                </pic:pic>
              </a:graphicData>
            </a:graphic>
          </wp:inline>
        </w:drawing>
      </w:r>
    </w:p>
    <w:bookmarkEnd w:id="21"/>
    <w:bookmarkStart w:id="25" w:name="mean-and-standard-error-plot"/>
    <w:p>
      <w:pPr>
        <w:pStyle w:val="Heading3"/>
      </w:pPr>
      <w:r>
        <w:t xml:space="preserve">Mean and Standard Error Plot</w:t>
      </w:r>
    </w:p>
    <w:p>
      <w:pPr>
        <w:pStyle w:val="FirstParagraph"/>
      </w:pPr>
      <w:r>
        <w:t xml:space="preserve">Now, let’s create a plot showing the mean and standard error for each lake, with individual data points in the background:</w:t>
      </w:r>
    </w:p>
    <w:p>
      <w:pPr>
        <w:pStyle w:val="SourceCode"/>
      </w:pPr>
      <w:r>
        <w:rPr>
          <w:rStyle w:val="CommentTok"/>
        </w:rPr>
        <w:t xml:space="preserve"># Create mean and standard error plot with data points</w:t>
      </w:r>
      <w:r>
        <w:br/>
      </w:r>
      <w:r>
        <w:br/>
      </w: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Total Length (± SE)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3" name="Picture"/>
            <a:graphic>
              <a:graphicData uri="http://schemas.openxmlformats.org/drawingml/2006/picture">
                <pic:pic>
                  <pic:nvPicPr>
                    <pic:cNvPr descr="two_sample_ttest_files/figure-docx/unnamed-chunk-5-1.png" id="24" name="Picture"/>
                    <pic:cNvPicPr>
                      <a:picLocks noChangeArrowheads="1" noChangeAspect="1"/>
                    </pic:cNvPicPr>
                  </pic:nvPicPr>
                  <pic:blipFill>
                    <a:blip r:embed="rId22"/>
                    <a:stretch>
                      <a:fillRect/>
                    </a:stretch>
                  </pic:blipFill>
                  <pic:spPr bwMode="auto">
                    <a:xfrm>
                      <a:off x="0" y="0"/>
                      <a:ext cx="4572000" cy="4572000"/>
                    </a:xfrm>
                    <a:prstGeom prst="rect">
                      <a:avLst/>
                    </a:prstGeom>
                    <a:noFill/>
                    <a:ln w="9525">
                      <a:noFill/>
                      <a:headEnd/>
                      <a:tailEnd/>
                    </a:ln>
                  </pic:spPr>
                </pic:pic>
              </a:graphicData>
            </a:graphic>
          </wp:inline>
        </w:drawing>
      </w:r>
    </w:p>
    <w:bookmarkEnd w:id="25"/>
    <w:bookmarkEnd w:id="26"/>
    <w:bookmarkEnd w:id="27"/>
    <w:bookmarkStart w:id="45" w:name="testing-t-test-assumptions"/>
    <w:p>
      <w:pPr>
        <w:pStyle w:val="Heading1"/>
      </w:pPr>
      <w:r>
        <w:t xml:space="preserve">Testing t-Test Assumptions</w:t>
      </w:r>
    </w:p>
    <w:p>
      <w:pPr>
        <w:pStyle w:val="FirstParagraph"/>
      </w:pPr>
      <w:r>
        <w:t xml:space="preserve">Before conducting the t-test, we need to verify that our data meets the underlying assumptions:</w:t>
      </w:r>
    </w:p>
    <w:bookmarkStart w:id="43" w:name="assumptions-of-the-two-sample-t-test"/>
    <w:p>
      <w:pPr>
        <w:pStyle w:val="Heading2"/>
      </w:pPr>
      <w:r>
        <w:t xml:space="preserve">Assumptions of the Two-Sample t-Test</w:t>
      </w:r>
    </w:p>
    <w:p>
      <w:pPr>
        <w:pStyle w:val="Compact"/>
        <w:numPr>
          <w:ilvl w:val="0"/>
          <w:numId w:val="1004"/>
        </w:numPr>
      </w:pPr>
      <w:r>
        <w:rPr>
          <w:b/>
          <w:bCs/>
        </w:rPr>
        <w:t xml:space="preserve">Independence</w:t>
      </w:r>
      <w:r>
        <w:t xml:space="preserve">: The observations within each group are independent, and the two groups are independent of each other.</w:t>
      </w:r>
    </w:p>
    <w:p>
      <w:pPr>
        <w:pStyle w:val="Compact"/>
        <w:numPr>
          <w:ilvl w:val="0"/>
          <w:numId w:val="1004"/>
        </w:numPr>
      </w:pPr>
      <w:r>
        <w:rPr>
          <w:b/>
          <w:bCs/>
        </w:rPr>
        <w:t xml:space="preserve">Normality</w:t>
      </w:r>
      <w:r>
        <w:t xml:space="preserve">: The data in each group follow a normal distribution.</w:t>
      </w:r>
    </w:p>
    <w:p>
      <w:pPr>
        <w:pStyle w:val="Compact"/>
        <w:numPr>
          <w:ilvl w:val="0"/>
          <w:numId w:val="1004"/>
        </w:numPr>
      </w:pPr>
      <w:r>
        <w:rPr>
          <w:b/>
          <w:bCs/>
        </w:rPr>
        <w:t xml:space="preserve">Homogeneity of Variances</w:t>
      </w:r>
      <w:r>
        <w:t xml:space="preserve">: The variances of the two groups are approximately equal (for the standard t-test).</w:t>
      </w:r>
    </w:p>
    <w:p>
      <w:pPr>
        <w:pStyle w:val="FirstParagraph"/>
      </w:pPr>
      <w:r>
        <w:t xml:space="preserve">Let’s test each of these assumptions:</w:t>
      </w:r>
    </w:p>
    <w:bookmarkStart w:id="28"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8"/>
    <w:bookmarkStart w:id="33" w:name="normality-assumption"/>
    <w:p>
      <w:pPr>
        <w:pStyle w:val="Heading3"/>
      </w:pPr>
      <w:r>
        <w:t xml:space="preserve">2. Normality Assumption</w:t>
      </w:r>
    </w:p>
    <w:p>
      <w:pPr>
        <w:pStyle w:val="FirstParagraph"/>
      </w:pPr>
      <w:r>
        <w:t xml:space="preserve">We’ll check normality using:</w:t>
      </w:r>
    </w:p>
    <w:p>
      <w:pPr>
        <w:numPr>
          <w:ilvl w:val="0"/>
          <w:numId w:val="1005"/>
        </w:numPr>
      </w:pPr>
      <w:r>
        <w:t xml:space="preserve">- Histograms</w:t>
      </w:r>
    </w:p>
    <w:p>
      <w:pPr>
        <w:numPr>
          <w:ilvl w:val="0"/>
          <w:numId w:val="1005"/>
        </w:numPr>
      </w:pPr>
      <w:r>
        <w:t xml:space="preserve">- Q-Q plots</w:t>
      </w:r>
    </w:p>
    <w:p>
      <w:pPr>
        <w:numPr>
          <w:ilvl w:val="0"/>
          <w:numId w:val="1005"/>
        </w:numPr>
      </w:pPr>
      <w:r>
        <w:t xml:space="preserve">- Shapiro-Wilk test</w:t>
      </w:r>
    </w:p>
    <w:bookmarkStart w:id="32" w:name="histograms"/>
    <w:p>
      <w:pPr>
        <w:pStyle w:val="Heading4"/>
      </w:pPr>
      <w:r>
        <w:t xml:space="preserve">Histograms</w:t>
      </w:r>
    </w:p>
    <w:p>
      <w:pPr>
        <w:pStyle w:val="SourceCode"/>
      </w:pPr>
      <w:r>
        <w:rPr>
          <w:rStyle w:val="NormalTok"/>
        </w:rPr>
        <w:t xml:space="preserve">sculpin_histo_plot</w:t>
      </w:r>
    </w:p>
    <w:p>
      <w:pPr>
        <w:pStyle w:val="FirstParagraph"/>
      </w:pPr>
      <w:r>
        <w:drawing>
          <wp:inline>
            <wp:extent cx="3200400" cy="3200400"/>
            <wp:effectExtent b="0" l="0" r="0" t="0"/>
            <wp:docPr descr="" title="" id="30" name="Picture"/>
            <a:graphic>
              <a:graphicData uri="http://schemas.openxmlformats.org/drawingml/2006/picture">
                <pic:pic>
                  <pic:nvPicPr>
                    <pic:cNvPr descr="two_sample_ttest_files/figure-docx/sculpin_histo_2-1.png" id="31" name="Picture"/>
                    <pic:cNvPicPr>
                      <a:picLocks noChangeArrowheads="1" noChangeAspect="1"/>
                    </pic:cNvPicPr>
                  </pic:nvPicPr>
                  <pic:blipFill>
                    <a:blip r:embed="rId29"/>
                    <a:stretch>
                      <a:fillRect/>
                    </a:stretch>
                  </pic:blipFill>
                  <pic:spPr bwMode="auto">
                    <a:xfrm>
                      <a:off x="0" y="0"/>
                      <a:ext cx="3200400" cy="3200400"/>
                    </a:xfrm>
                    <a:prstGeom prst="rect">
                      <a:avLst/>
                    </a:prstGeom>
                    <a:noFill/>
                    <a:ln w="9525">
                      <a:noFill/>
                      <a:headEnd/>
                      <a:tailEnd/>
                    </a:ln>
                  </pic:spPr>
                </pic:pic>
              </a:graphicData>
            </a:graphic>
          </wp:inline>
        </w:drawing>
      </w:r>
    </w:p>
    <w:bookmarkEnd w:id="32"/>
    <w:bookmarkEnd w:id="33"/>
    <w:bookmarkStart w:id="37" w:name="qq-plots"/>
    <w:p>
      <w:pPr>
        <w:pStyle w:val="Heading3"/>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35" name="Picture"/>
            <a:graphic>
              <a:graphicData uri="http://schemas.openxmlformats.org/drawingml/2006/picture">
                <pic:pic>
                  <pic:nvPicPr>
                    <pic:cNvPr descr="two_sample_ttest_files/figure-docx/unnamed-chunk-6-1.png" id="36" name="Picture"/>
                    <pic:cNvPicPr>
                      <a:picLocks noChangeArrowheads="1" noChangeAspect="1"/>
                    </pic:cNvPicPr>
                  </pic:nvPicPr>
                  <pic:blipFill>
                    <a:blip r:embed="rId34"/>
                    <a:stretch>
                      <a:fillRect/>
                    </a:stretch>
                  </pic:blipFill>
                  <pic:spPr bwMode="auto">
                    <a:xfrm>
                      <a:off x="0" y="0"/>
                      <a:ext cx="3200400" cy="3200400"/>
                    </a:xfrm>
                    <a:prstGeom prst="rect">
                      <a:avLst/>
                    </a:prstGeom>
                    <a:noFill/>
                    <a:ln w="9525">
                      <a:noFill/>
                      <a:headEnd/>
                      <a:tailEnd/>
                    </a:ln>
                  </pic:spPr>
                </pic:pic>
              </a:graphicData>
            </a:graphic>
          </wp:inline>
        </w:drawing>
      </w:r>
    </w:p>
    <w:bookmarkEnd w:id="37"/>
    <w:bookmarkStart w:id="38" w:name="shapiro-wilk-test"/>
    <w:p>
      <w:pPr>
        <w:pStyle w:val="Heading3"/>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bookmarkEnd w:id="38"/>
    <w:bookmarkStart w:id="39" w:name="nicer-way-1"/>
    <w:p>
      <w:pPr>
        <w:pStyle w:val="Heading3"/>
      </w:pPr>
      <w:r>
        <w:t xml:space="preserve">nicer way #1</w:t>
      </w:r>
    </w:p>
    <w:p>
      <w:pPr>
        <w:pStyle w:val="SourceCode"/>
      </w:pPr>
      <w:r>
        <w:rPr>
          <w:rStyle w:val="CommentTok"/>
        </w:rPr>
        <w:t xml:space="preserve"># using the broom package</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9"/>
    <w:bookmarkStart w:id="40" w:name="nicer-way-2"/>
    <w:p>
      <w:pPr>
        <w:pStyle w:val="Heading3"/>
      </w:pPr>
      <w:r>
        <w:t xml:space="preserve">nicer way #2</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bookmarkEnd w:id="40"/>
    <w:bookmarkStart w:id="41" w:name="nicer-way-3"/>
    <w:p>
      <w:pPr>
        <w:pStyle w:val="Heading3"/>
      </w:pPr>
      <w:r>
        <w:t xml:space="preserve">nicer way #3</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bookmarkEnd w:id="41"/>
    <w:bookmarkStart w:id="42" w:name="homogeneity-of-variances"/>
    <w:p>
      <w:pPr>
        <w:pStyle w:val="Heading3"/>
      </w:pPr>
      <w:r>
        <w:t xml:space="preserve">3. Homogeneity of Variances</w:t>
      </w:r>
    </w:p>
    <w:p>
      <w:pPr>
        <w:pStyle w:val="FirstParagraph"/>
      </w:pPr>
      <w:r>
        <w:t xml:space="preserve">We’ll check for homogeneity of variances using:</w:t>
      </w:r>
    </w:p>
    <w:p>
      <w:pPr>
        <w:pStyle w:val="Compact"/>
        <w:numPr>
          <w:ilvl w:val="0"/>
          <w:numId w:val="1006"/>
        </w:numPr>
      </w:pPr>
      <w:r>
        <w:t xml:space="preserve">Visual inspection of boxplots (already done above)</w:t>
      </w:r>
    </w:p>
    <w:p>
      <w:pPr>
        <w:pStyle w:val="Compact"/>
        <w:numPr>
          <w:ilvl w:val="0"/>
          <w:numId w:val="1006"/>
        </w:numPr>
      </w:pPr>
      <w:r>
        <w:t xml:space="preserve">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42"/>
    <w:bookmarkEnd w:id="43"/>
    <w:bookmarkStart w:id="44"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7"/>
        </w:numPr>
      </w:pPr>
      <w:r>
        <w:rPr>
          <w:b/>
          <w:bCs/>
        </w:rPr>
        <w:t xml:space="preserve">Independence</w:t>
      </w:r>
      <w:r>
        <w:t xml:space="preserve">: We assume this is met based on the data collection process, as samples from each lake were collected independently of one another.</w:t>
      </w:r>
    </w:p>
    <w:p>
      <w:pPr>
        <w:numPr>
          <w:ilvl w:val="0"/>
          <w:numId w:val="1007"/>
        </w:numPr>
      </w:pPr>
      <w:r>
        <w:rPr>
          <w:b/>
          <w:bCs/>
        </w:rPr>
        <w:t xml:space="preserve">Normality</w:t>
      </w:r>
      <w:r>
        <w:t xml:space="preserve">:</w:t>
      </w:r>
    </w:p>
    <w:p>
      <w:pPr>
        <w:pStyle w:val="Compact"/>
        <w:numPr>
          <w:ilvl w:val="1"/>
          <w:numId w:val="1008"/>
        </w:numPr>
      </w:pPr>
      <w:r>
        <w:t xml:space="preserve">The Q-Q plots show that the data points largely follow the theoretical normal distribution line for both lakes, with some minor deviations at the extremes.</w:t>
      </w:r>
    </w:p>
    <w:p>
      <w:pPr>
        <w:pStyle w:val="Compact"/>
        <w:numPr>
          <w:ilvl w:val="1"/>
          <w:numId w:val="1008"/>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8"/>
        </w:numPr>
      </w:pPr>
      <w:r>
        <w:t xml:space="preserve">For samples larger than 30, the Central Limit Theorem suggests that the sampling distribution of means will be approximately normal regardless of the underlying distribution.</w:t>
      </w:r>
    </w:p>
    <w:p>
      <w:pPr>
        <w:numPr>
          <w:ilvl w:val="0"/>
          <w:numId w:val="1007"/>
        </w:numPr>
      </w:pPr>
      <w:r>
        <w:rPr>
          <w:b/>
          <w:bCs/>
        </w:rPr>
        <w:t xml:space="preserve">Homogeneity of Variances</w:t>
      </w:r>
      <w:r>
        <w:t xml:space="preserve">:</w:t>
      </w:r>
    </w:p>
    <w:p>
      <w:pPr>
        <w:pStyle w:val="Compact"/>
        <w:numPr>
          <w:ilvl w:val="1"/>
          <w:numId w:val="1009"/>
        </w:numPr>
      </w:pPr>
      <w:r>
        <w:t xml:space="preserve">Levene’s test evaluates whether the variances between groups are equal.</w:t>
      </w:r>
    </w:p>
    <w:p>
      <w:pPr>
        <w:pStyle w:val="Compact"/>
        <w:numPr>
          <w:ilvl w:val="1"/>
          <w:numId w:val="1009"/>
        </w:numPr>
      </w:pPr>
      <w:r>
        <w:t xml:space="preserve">A p-value greater than 0.05 indicates that we cannot reject the null hypothesis of equal variances.</w:t>
      </w:r>
    </w:p>
    <w:p>
      <w:pPr>
        <w:pStyle w:val="Compact"/>
        <w:numPr>
          <w:ilvl w:val="1"/>
          <w:numId w:val="1009"/>
        </w:numPr>
      </w:pPr>
      <w:r>
        <w:t xml:space="preserve">As a rule of thumb, if the variance ratio is less than 4:1, the t-test is reasonably robust to violations of this assumption.</w:t>
      </w:r>
    </w:p>
    <w:p>
      <w:pPr>
        <w:pStyle w:val="Compact"/>
        <w:numPr>
          <w:ilvl w:val="1"/>
          <w:numId w:val="1009"/>
        </w:numPr>
      </w:pPr>
      <w:r>
        <w:t xml:space="preserve">If this assumption is violated, we should consider using Welch’s t-test instead, which does not assume equal variances.</w:t>
      </w:r>
    </w:p>
    <w:bookmarkEnd w:id="44"/>
    <w:bookmarkEnd w:id="45"/>
    <w:bookmarkStart w:id="54" w:name="two-sample-t-test"/>
    <w:p>
      <w:pPr>
        <w:pStyle w:val="Heading1"/>
      </w:pPr>
      <w:r>
        <w:t xml:space="preserve">Two-Sample t-Test</w:t>
      </w:r>
    </w:p>
    <w:p>
      <w:pPr>
        <w:pStyle w:val="FirstParagraph"/>
      </w:pPr>
      <w:r>
        <w:t xml:space="preserve">Now that we’ve checked the assumptions, we can perform the two-sample t-test:</w:t>
      </w:r>
    </w:p>
    <w:p>
      <w:pPr>
        <w:pStyle w:val="SourceCode"/>
      </w:pPr>
      <w:r>
        <w:rPr>
          <w:rStyle w:val="CommentTok"/>
        </w:rPr>
        <w:t xml:space="preserve"># Perform the t-test with equal variance (standard t-test)</w:t>
      </w:r>
      <w:r>
        <w:br/>
      </w:r>
      <w:r>
        <w:rPr>
          <w:rStyle w:val="NormalTok"/>
        </w:rPr>
        <w:t xml:space="preserve">t_test_equal_var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Use pooled variance</w:t>
      </w:r>
      <w:r>
        <w:br/>
      </w:r>
      <w:r>
        <w:rPr>
          <w:rStyle w:val="NormalTok"/>
        </w:rPr>
        <w:t xml:space="preserve">)</w:t>
      </w:r>
      <w:r>
        <w:br/>
      </w:r>
      <w:r>
        <w:br/>
      </w:r>
      <w:r>
        <w:rPr>
          <w:rStyle w:val="CommentTok"/>
        </w:rPr>
        <w:t xml:space="preserve"># Display the results</w:t>
      </w:r>
      <w:r>
        <w:br/>
      </w:r>
      <w:r>
        <w:rPr>
          <w:rStyle w:val="NormalTok"/>
        </w:rPr>
        <w:t xml:space="preserve">t_test_equal_var</w:t>
      </w:r>
    </w:p>
    <w:p>
      <w:pPr>
        <w:pStyle w:val="SourceCode"/>
      </w:pPr>
      <w:r>
        <w:br/>
      </w:r>
      <w:r>
        <w:rPr>
          <w:rStyle w:val="VerbatimChar"/>
        </w:rPr>
        <w:t xml:space="preserve">    Two Sample t-test</w:t>
      </w:r>
      <w:r>
        <w:br/>
      </w:r>
      <w:r>
        <w:br/>
      </w:r>
      <w:r>
        <w:rPr>
          <w:rStyle w:val="VerbatimChar"/>
        </w:rPr>
        <w:t xml:space="preserve">data:  length_mm by lake</w:t>
      </w:r>
      <w:r>
        <w:br/>
      </w:r>
      <w:r>
        <w:rPr>
          <w:rStyle w:val="VerbatimChar"/>
        </w:rPr>
        <w:t xml:space="preserve">t = -3.4314, df = 108, p-value = 0.0008519</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-13.080929  -3.501818</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p>
      <w:pPr>
        <w:pStyle w:val="SourceCode"/>
      </w:pPr>
      <w:r>
        <w:rPr>
          <w:rStyle w:val="CommentTok"/>
        </w:rPr>
        <w:t xml:space="preserve"># For comparison, also perform Welch's t-test (unequal variances)</w:t>
      </w:r>
      <w:r>
        <w:br/>
      </w:r>
      <w:r>
        <w:rPr>
          <w:rStyle w:val="NormalTok"/>
        </w:rPr>
        <w:t xml:space="preserve">t_test_welch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Use Welch's correction</w:t>
      </w:r>
      <w:r>
        <w:br/>
      </w:r>
      <w:r>
        <w:rPr>
          <w:rStyle w:val="NormalTok"/>
        </w:rPr>
        <w:t xml:space="preserve">)</w:t>
      </w:r>
      <w:r>
        <w:br/>
      </w:r>
      <w:r>
        <w:br/>
      </w:r>
      <w:r>
        <w:br/>
      </w:r>
      <w:r>
        <w:rPr>
          <w:rStyle w:val="NormalTok"/>
        </w:rPr>
        <w:t xml:space="preserve">t_test_welch</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6" w:name="Xa30e1033041c0a19bd968f1658f7583eb9deb3b"/>
    <w:p>
      <w:pPr>
        <w:pStyle w:val="Heading2"/>
      </w:pPr>
      <w:r>
        <w:t xml:space="preserve">Line-by-Line Interpretation of t-Test Results</w:t>
      </w:r>
    </w:p>
    <w:p>
      <w:pPr>
        <w:pStyle w:val="FirstParagraph"/>
      </w:pPr>
      <w:r>
        <w:t xml:space="preserve">Let’s break down the t-test output:</w:t>
      </w:r>
    </w:p>
    <w:p>
      <w:pPr>
        <w:pStyle w:val="Compact"/>
        <w:numPr>
          <w:ilvl w:val="0"/>
          <w:numId w:val="1010"/>
        </w:numPr>
      </w:pPr>
      <w:r>
        <w:rPr>
          <w:b/>
          <w:bCs/>
        </w:rPr>
        <w:t xml:space="preserve">Test Type</w:t>
      </w:r>
      <w:r>
        <w:t xml:space="preserve">: Two Sample t-test</w:t>
      </w:r>
    </w:p>
    <w:p>
      <w:pPr>
        <w:pStyle w:val="Compact"/>
        <w:numPr>
          <w:ilvl w:val="0"/>
          <w:numId w:val="1010"/>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pStyle w:val="Compact"/>
        <w:numPr>
          <w:ilvl w:val="0"/>
          <w:numId w:val="1010"/>
        </w:numPr>
      </w:pPr>
      <w:r>
        <w:rPr>
          <w:b/>
          <w:bCs/>
        </w:rPr>
        <w:t xml:space="preserve">Data</w:t>
      </w:r>
      <w:r>
        <w:t xml:space="preserve">: Our filtered sculpin dataset</w:t>
      </w:r>
    </w:p>
    <w:p>
      <w:pPr>
        <w:pStyle w:val="Compact"/>
        <w:numPr>
          <w:ilvl w:val="0"/>
          <w:numId w:val="1010"/>
        </w:numPr>
      </w:pPr>
      <w:r>
        <w:rPr>
          <w:b/>
          <w:bCs/>
        </w:rPr>
        <w:t xml:space="preserve">t-value</w:t>
      </w:r>
      <w:r>
        <w:t xml:space="preserve">: The calculated t-statistic</w:t>
      </w:r>
    </w:p>
    <w:p>
      <w:pPr>
        <w:pStyle w:val="Compact"/>
        <w:numPr>
          <w:ilvl w:val="0"/>
          <w:numId w:val="1010"/>
        </w:numPr>
      </w:pPr>
      <w:r>
        <w:rPr>
          <w:b/>
          <w:bCs/>
        </w:rPr>
        <w:t xml:space="preserve">Degrees of Freedom (df)</w:t>
      </w:r>
      <w:r>
        <w:t xml:space="preserve">: n₁ + n₂ - 2</w:t>
      </w:r>
    </w:p>
    <w:p>
      <w:pPr>
        <w:pStyle w:val="Compact"/>
        <w:numPr>
          <w:ilvl w:val="0"/>
          <w:numId w:val="1010"/>
        </w:numPr>
      </w:pPr>
      <w:r>
        <w:rPr>
          <w:b/>
          <w:bCs/>
        </w:rPr>
        <w:t xml:space="preserve">p-value</w:t>
      </w:r>
      <w:r>
        <w:t xml:space="preserve">: The probability of observing this data (or more extreme) if the null hypothesis is true</w:t>
      </w:r>
    </w:p>
    <w:p>
      <w:pPr>
        <w:pStyle w:val="Compact"/>
        <w:numPr>
          <w:ilvl w:val="0"/>
          <w:numId w:val="1010"/>
        </w:numPr>
      </w:pPr>
      <w:r>
        <w:rPr>
          <w:b/>
          <w:bCs/>
        </w:rPr>
        <w:t xml:space="preserve">Alternative Hypothesis</w:t>
      </w:r>
      <w:r>
        <w:t xml:space="preserve">: The means are different</w:t>
      </w:r>
    </w:p>
    <w:p>
      <w:pPr>
        <w:pStyle w:val="Compact"/>
        <w:numPr>
          <w:ilvl w:val="0"/>
          <w:numId w:val="1010"/>
        </w:numPr>
      </w:pPr>
      <w:r>
        <w:rPr>
          <w:b/>
          <w:bCs/>
        </w:rPr>
        <w:t xml:space="preserve">95% Confidence Interval</w:t>
      </w:r>
      <w:r>
        <w:t xml:space="preserve">: The estimated range for the true difference in means</w:t>
      </w:r>
    </w:p>
    <w:p>
      <w:pPr>
        <w:pStyle w:val="Compact"/>
        <w:numPr>
          <w:ilvl w:val="0"/>
          <w:numId w:val="1010"/>
        </w:numPr>
      </w:pPr>
      <w:r>
        <w:rPr>
          <w:b/>
          <w:bCs/>
        </w:rPr>
        <w:t xml:space="preserve">Sample Estimates</w:t>
      </w:r>
      <w:r>
        <w:t xml:space="preserve">: The means of each group</w:t>
      </w:r>
    </w:p>
    <w:bookmarkEnd w:id="46"/>
    <w:bookmarkStart w:id="53" w:name="visual-representation-of-t-test-results"/>
    <w:p>
      <w:pPr>
        <w:pStyle w:val="Heading2"/>
      </w:pPr>
      <w:r>
        <w:t xml:space="preserve">Visual Representation of t-Test Results</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3200400" cy="3200400"/>
            <wp:effectExtent b="0" l="0" r="0" t="0"/>
            <wp:docPr descr="" title="" id="48" name="Picture"/>
            <a:graphic>
              <a:graphicData uri="http://schemas.openxmlformats.org/drawingml/2006/picture">
                <pic:pic>
                  <pic:nvPicPr>
                    <pic:cNvPr descr="two_sample_ttest_files/figure-docx/final_histo_plot-1.png" id="49" name="Picture"/>
                    <pic:cNvPicPr>
                      <a:picLocks noChangeArrowheads="1" noChangeAspect="1"/>
                    </pic:cNvPicPr>
                  </pic:nvPicPr>
                  <pic:blipFill>
                    <a:blip r:embed="rId47"/>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00400" cy="3200400"/>
            <wp:effectExtent b="0" l="0" r="0" t="0"/>
            <wp:docPr descr="" title="" id="51" name="Picture"/>
            <a:graphic>
              <a:graphicData uri="http://schemas.openxmlformats.org/drawingml/2006/picture">
                <pic:pic>
                  <pic:nvPicPr>
                    <pic:cNvPr descr="two_sample_ttest_files/figure-docx/final_mean_se-1.png" id="52" name="Picture"/>
                    <pic:cNvPicPr>
                      <a:picLocks noChangeArrowheads="1" noChangeAspect="1"/>
                    </pic:cNvPicPr>
                  </pic:nvPicPr>
                  <pic:blipFill>
                    <a:blip r:embed="rId50"/>
                    <a:stretch>
                      <a:fillRect/>
                    </a:stretch>
                  </pic:blipFill>
                  <pic:spPr bwMode="auto">
                    <a:xfrm>
                      <a:off x="0" y="0"/>
                      <a:ext cx="3200400" cy="3200400"/>
                    </a:xfrm>
                    <a:prstGeom prst="rect">
                      <a:avLst/>
                    </a:prstGeom>
                    <a:noFill/>
                    <a:ln w="9525">
                      <a:noFill/>
                      <a:headEnd/>
                      <a:tailEnd/>
                    </a:ln>
                  </pic:spPr>
                </pic:pic>
              </a:graphicData>
            </a:graphic>
          </wp:inline>
        </w:drawing>
      </w:r>
    </w:p>
    <w:bookmarkEnd w:id="53"/>
    <w:bookmarkEnd w:id="54"/>
    <w:bookmarkStart w:id="56"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percent_diff</w:t>
      </w:r>
    </w:p>
    <w:p>
      <w:pPr>
        <w:pStyle w:val="SourceCode"/>
      </w:pPr>
      <w:r>
        <w:rPr>
          <w:rStyle w:val="VerbatimChar"/>
        </w:rPr>
        <w:t xml:space="preserve">[1] 17.54036</w:t>
      </w:r>
    </w:p>
    <w:p>
      <w:pPr>
        <w:pStyle w:val="FirstParagraph"/>
      </w:pPr>
      <w:r>
        <w:t xml:space="preserve">Based on our analysis, we can conclude:</w:t>
      </w:r>
    </w:p>
    <w:p>
      <w:pPr>
        <w:pStyle w:val="BodyText"/>
      </w:pPr>
      <w:r>
        <w:t xml:space="preserve">The total length of slimy sculpin fish differs significantly between Lake S 07 and Lake NE 14 (two-sample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mm).</w:t>
      </w:r>
    </w:p>
    <w:bookmarkStart w:id="55"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w:t>
      </w:r>
    </w:p>
    <w:p>
      <w:pPr>
        <w:pStyle w:val="BodyText"/>
      </w:pPr>
      <w:r>
        <w:t xml:space="preserve">respectively; two-sample t-test: t(df) =</w:t>
      </w:r>
      <w:r>
        <w:t xml:space="preserve"> </w:t>
      </w:r>
      <w:r>
        <w:rPr>
          <w:rStyle w:val="VerbatimChar"/>
        </w:rPr>
        <w:t xml:space="preserve">t_statistic</w:t>
      </w:r>
      <w:r>
        <w:t xml:space="preserve">, p &lt; 0.001). This represents an approximately</w:t>
      </w:r>
      <w:r>
        <w:rPr>
          <w:rStyle w:val="VerbatimChar"/>
        </w:rPr>
        <w:t xml:space="preserve">percent_diff</w:t>
      </w:r>
      <w:r>
        <w:t xml:space="preserve">% difference in total length between the two populations.”</w:t>
      </w:r>
    </w:p>
    <w:p>
      <w:pPr>
        <w:pStyle w:val="BodyText"/>
      </w:pPr>
      <w:r>
        <w:t xml:space="preserve">For figures, include:</w:t>
      </w:r>
    </w:p>
    <w:p>
      <w:pPr>
        <w:pStyle w:val="Compact"/>
        <w:numPr>
          <w:ilvl w:val="0"/>
          <w:numId w:val="1011"/>
        </w:numPr>
      </w:pPr>
      <w:r>
        <w:t xml:space="preserve">A boxplot or mean/SE plot showing the difference</w:t>
      </w:r>
    </w:p>
    <w:p>
      <w:pPr>
        <w:pStyle w:val="Compact"/>
        <w:numPr>
          <w:ilvl w:val="0"/>
          <w:numId w:val="1011"/>
        </w:numPr>
      </w:pPr>
      <w:r>
        <w:t xml:space="preserve">Clear labels and scales</w:t>
      </w:r>
    </w:p>
    <w:p>
      <w:pPr>
        <w:pStyle w:val="Compact"/>
        <w:numPr>
          <w:ilvl w:val="0"/>
          <w:numId w:val="1011"/>
        </w:numPr>
      </w:pPr>
      <w:r>
        <w:t xml:space="preserve">Sample sizes</w:t>
      </w:r>
    </w:p>
    <w:p>
      <w:pPr>
        <w:pStyle w:val="Compact"/>
        <w:numPr>
          <w:ilvl w:val="0"/>
          <w:numId w:val="1011"/>
        </w:numPr>
      </w:pPr>
      <w:r>
        <w:t xml:space="preserve">Statistical test information in the figure caption</w:t>
      </w:r>
    </w:p>
    <w:p>
      <w:pPr>
        <w:pStyle w:val="FirstParagraph"/>
      </w:pPr>
      <w:r>
        <w:t xml:space="preserve">A typical caption would read:</w:t>
      </w:r>
    </w:p>
    <w:p>
      <w:pPr>
        <w:pStyle w:val="BodyText"/>
      </w:pPr>
      <w:r>
        <w:t xml:space="preserve">Note I would also add the mean and SE of each lake</w:t>
      </w:r>
    </w:p>
    <w:p>
      <w:pPr>
        <w:pStyle w:val="BodyText"/>
      </w:pPr>
      <w:r>
        <w:t xml:space="preserve">“Figure X. Total length (mean ± SE) of slimy sculpin fish from two Arctic lakes. Fish from Lake S 07 (n = 73) were significantly larger than those from Lake NE 14 (n = 37) (two-sample t-test: t(108) = 3.46, p &lt; 0.001).”</w:t>
      </w:r>
    </w:p>
    <w:bookmarkEnd w:id="55"/>
    <w:bookmarkEnd w:id="5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9" Target="two_sample_ttest.R" TargetMode="External" /></Relationships>
</file>

<file path=word/_rels/footnotes.xml.rels><?xml version="1.0" encoding="UTF-8"?><Relationships xmlns="http://schemas.openxmlformats.org/package/2006/relationships"><Relationship Type="http://schemas.openxmlformats.org/officeDocument/2006/relationships/hyperlink" Id="rId9" Target="two_sample_ttes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T-Test</dc:title>
  <dc:creator>Bill Perry</dc:creator>
  <dc:description>Parametric two-sample t-test walkthrough in R.</dc:description>
  <cp:keywords/>
  <dcterms:created xsi:type="dcterms:W3CDTF">2026-08-19T22:16:53Z</dcterms:created>
  <dcterms:modified xsi:type="dcterms:W3CDTF">2026-08-19T22:16:53Z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1</vt:lpwstr>
  </property>
  <property fmtid="{D5CDD505-2E9C-101B-9397-08002B2CF9AE}" pid="11" name="resources">
    <vt:lpwstr/>
  </property>
  <property fmtid="{D5CDD505-2E9C-101B-9397-08002B2CF9AE}" pid="12" name="subtitle">
    <vt:lpwstr>Parametric t-test</vt:lpwstr>
  </property>
  <property fmtid="{D5CDD505-2E9C-101B-9397-08002B2CF9AE}" pid="13" name="toc-title">
    <vt:lpwstr>Table of contents</vt:lpwstr>
  </property>
  <property fmtid="{D5CDD505-2E9C-101B-9397-08002B2CF9AE}" pid="14" name="week">
    <vt:lpwstr>1</vt:lpwstr>
  </property>
</Properties>
</file>