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87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5"/>
    <w:bookmarkStart w:id="36" w:name="building-the-ancova-model-in-r-1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the-3-step-workflow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7"/>
    <w:bookmarkStart w:id="38" w:name="ancova-in-r-the-3-step-workflow-1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56cba9001b46857a8f317f9badb2b7704f6809c"/>
    <w:p>
      <w:pPr>
        <w:pStyle w:val="Heading2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8"/>
    <w:bookmarkStart w:id="59" w:name="partridge-example-step-3-ancova-analysis"/>
    <w:p>
      <w:pPr>
        <w:pStyle w:val="Heading2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partridge-example-pairwise-comparisons-1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3657600" cy="31350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6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End w:id="86"/>
    <w:bookmarkStart w:id="90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2026-08-21T15:07:46Z</dcterms:created>
  <dcterms:modified xsi:type="dcterms:W3CDTF">2026-08-21T15:07:46Z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