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0.011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</w:t>
      </w:r>
      <w:r>
        <w:br/>
      </w:r>
      <w:r>
        <w:rPr>
          <w:rStyle w:val="DocumentationTok"/>
        </w:rPr>
        <w:t xml:space="preserve">## Model     1   101.69 0.2468 11.468  0.002 **</w:t>
      </w:r>
      <w:r>
        <w:br/>
      </w:r>
      <w:r>
        <w:rPr>
          <w:rStyle w:val="DocumentationTok"/>
        </w:rPr>
        <w:t xml:space="preserve">## Residual 35   310.35 0.7532                 </w:t>
      </w:r>
      <w:r>
        <w:br/>
      </w:r>
      <w:r>
        <w:rPr>
          <w:rStyle w:val="DocumentationTok"/>
        </w:rPr>
        <w:t xml:space="preserve">## Total    36   412.04 1.0000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0.126 0.006 -    </w:t>
      </w:r>
      <w:r>
        <w:br/>
      </w:r>
      <w:r>
        <w:rPr>
          <w:rStyle w:val="DocumentationTok"/>
        </w:rPr>
        <w:t xml:space="preserve">## TJH 0.006 0.006 0.018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2026-07-04T15:23:53Z</dcterms:created>
  <dcterms:modified xsi:type="dcterms:W3CDTF">2026-07-04T15:23:53Z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Multivariate intro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