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CaptionedFigure"/>
      </w:pPr>
      <w:r>
        <w:drawing>
          <wp:inline>
            <wp:extent cx="3619500" cy="2533650"/>
            <wp:effectExtent b="0" l="0" r="0" t="0"/>
            <wp:docPr descr="Example NMDS ordination plot from a published lake-ecology study (‘Summer’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NMDS ordination plot from a published lake-ecology study (</w:t>
      </w:r>
      <w:r>
        <w:t xml:space="preserve">‘Summer’</w:t>
      </w:r>
      <w:r>
        <w:t xml:space="preserve">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</w:t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CaptionedFigure"/>
      </w:pPr>
      <w:r>
        <w:drawing>
          <wp:inline>
            <wp:extent cx="3619500" cy="7213329"/>
            <wp:effectExtent b="0" l="0" r="0" t="0"/>
            <wp:docPr descr="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7213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</w:t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correaltions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CaptionedFigure"/>
      </w:pPr>
      <w:r>
        <w:drawing>
          <wp:inline>
            <wp:extent cx="3619500" cy="3003682"/>
            <wp:effectExtent b="0" l="0" r="0" t="0"/>
            <wp:docPr descr="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003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</w:t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CaptionedFigure"/>
      </w:pPr>
      <w:r>
        <w:drawing>
          <wp:inline>
            <wp:extent cx="3619500" cy="3689781"/>
            <wp:effectExtent b="0" l="0" r="0" t="0"/>
            <wp:docPr descr="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689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</w:t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CaptionedFigure"/>
      </w:pPr>
      <w:r>
        <w:drawing>
          <wp:inline>
            <wp:extent cx="3619500" cy="3909060"/>
            <wp:effectExtent b="0" l="0" r="0" t="0"/>
            <wp:docPr descr="3D scatterplot of a point cloud within a cube, with three colored arrows (red ‘1st’, blue ‘2nd’, green ‘3rd’) radiating from the cloud’s center marking the first three principal-component axes, extending the rotation idea from 2D to 3D multivariate space.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909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3D scatterplot of a point cloud within a cube, with three colored arrows (red</w:t>
      </w:r>
      <w:r>
        <w:t xml:space="preserve"> </w:t>
      </w:r>
      <w:r>
        <w:t xml:space="preserve">‘1st’</w:t>
      </w:r>
      <w:r>
        <w:t xml:space="preserve">, blue</w:t>
      </w:r>
      <w:r>
        <w:t xml:space="preserve"> </w:t>
      </w:r>
      <w:r>
        <w:t xml:space="preserve">‘2nd’</w:t>
      </w:r>
      <w:r>
        <w:t xml:space="preserve">, green</w:t>
      </w:r>
      <w:r>
        <w:t xml:space="preserve"> </w:t>
      </w:r>
      <w:r>
        <w:t xml:space="preserve">‘3rd’</w:t>
      </w:r>
      <w:r>
        <w:t xml:space="preserve">) radiating from the cloud’s center marking the first three principal-component axes, extending the rotation idea from 2D to 3D multivariate space.</w:t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00" w:name="loading-plot-interpretation"/>
    <w:p>
      <w:pPr>
        <w:pStyle w:val="Heading2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0"/>
    <w:bookmarkStart w:id="101" w:name="part-7-biplots-and-scores"/>
    <w:p>
      <w:pPr>
        <w:pStyle w:val="Heading2"/>
      </w:pPr>
      <w:r>
        <w:t xml:space="preserve">Part 7 · Biplots and Scores</w:t>
      </w:r>
    </w:p>
    <w:bookmarkEnd w:id="101"/>
    <w:bookmarkStart w:id="102" w:name="step-7-pca-biplot---the-main-result"/>
    <w:p>
      <w:pPr>
        <w:pStyle w:val="Heading2"/>
      </w:pPr>
      <w:r>
        <w:t xml:space="preserve">Step 7: PCA Biplot - The Main Result</w:t>
      </w:r>
    </w:p>
    <w:bookmarkEnd w:id="102"/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Start w:id="107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7"/>
    <w:bookmarkStart w:id="108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8"/>
    <w:bookmarkStart w:id="110" w:name="step-8-interpret-pc1-results"/>
    <w:p>
      <w:pPr>
        <w:pStyle w:val="Heading2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9"/>
    <w:bookmarkEnd w:id="110"/>
    <w:bookmarkStart w:id="114" w:name="pc1-interpretation-overall-flower-size"/>
    <w:p>
      <w:pPr>
        <w:pStyle w:val="Heading2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2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2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2"/>
    <w:bookmarkStart w:id="123" w:name="summary-what-we-learned"/>
    <w:p>
      <w:pPr>
        <w:pStyle w:val="Heading2"/>
      </w:pPr>
      <w:r>
        <w:t xml:space="preserve">Summary: What We Learned</w:t>
      </w:r>
    </w:p>
    <w:bookmarkEnd w:id="123"/>
    <w:bookmarkStart w:id="124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4"/>
    <w:bookmarkStart w:id="125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5"/>
    <w:bookmarkStart w:id="126" w:name="when-to-use-pca-vs.-other-methods"/>
    <w:p>
      <w:pPr>
        <w:pStyle w:val="Heading2"/>
      </w:pPr>
      <w:r>
        <w:t xml:space="preserve">When to Use PCA vs. Other Methods</w:t>
      </w:r>
    </w:p>
    <w:bookmarkEnd w:id="126"/>
    <w:bookmarkStart w:id="127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7"/>
    <w:bookmarkStart w:id="128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6" Target="media/rId36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2026-08-24T18:45:15Z</dcterms:created>
  <dcterms:modified xsi:type="dcterms:W3CDTF">2026-08-24T18:45:15Z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18</vt:lpwstr>
  </property>
  <property fmtid="{D5CDD505-2E9C-101B-9397-08002B2CF9AE}" pid="13" name="resources">
    <vt:lpwstr/>
  </property>
  <property fmtid="{D5CDD505-2E9C-101B-9397-08002B2CF9AE}" pid="14" name="subtitle">
    <vt:lpwstr>Ordination</vt:lpwstr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