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9.png" ContentType="image/png"/>
  <Override PartName="/word/media/rId21.png" ContentType="image/png"/>
  <Override PartName="/word/media/rId32.png" ContentType="image/png"/>
  <Override PartName="/word/media/rId58.png" ContentType="image/png"/>
  <Override PartName="/word/media/rId48.png" ContentType="image/png"/>
  <Override PartName="/word/media/rId55.png" ContentType="image/png"/>
  <Override PartName="/word/media/rId51.png" ContentType="image/png"/>
  <Override PartName="/word/media/rId12.png" ContentType="image/png"/>
  <Override PartName="/word/media/rId110.jpg" ContentType="image/jpeg"/>
  <Override PartName="/word/media/rId94.png" ContentType="image/png"/>
  <Override PartName="/word/media/rId100.png" ContentType="image/png"/>
  <Override PartName="/word/media/rId114.png" ContentType="image/png"/>
  <Override PartName="/word/media/rId134.png" ContentType="image/png"/>
  <Override PartName="/word/media/rId155.png" ContentType="image/png"/>
  <Override PartName="/word/media/rId163.png" ContentType="image/png"/>
  <Override PartName="/word/media/rId29.png" ContentType="image/png"/>
  <Override PartName="/word/media/rId36.png" ContentType="image/png"/>
  <Override PartName="/word/media/rId76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 — that substitution is why we need the t-distribution at all. Today we put it to work.</w:t>
            </w:r>
          </w:p>
          <w:p/>
        </w:tc>
      </w:tr>
    </w:tbl>
    <w:p>
      <w:pPr>
        <w:pStyle w:val="CaptionedFigure"/>
      </w:pPr>
      <w:r>
        <w:drawing>
          <wp:inline>
            <wp:extent cx="2295525" cy="3143250"/>
            <wp:effectExtent b="0" l="0" r="0" t="0"/>
            <wp:docPr descr="Diagram of a large circle labeled ‘population’ with dots representing individuals and Greek-letter parameters (mu, sigma, sigma-squared), with orange arrows showing a subset of dots being drawn down into a small circle labeled ‘sample’ with its statistics (y-bar, s, s-squared), illustrating that a sample is used to estimate unknown population parameters.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with dots representing individuals and Greek-letter parameters (mu, sigma, sigma-squared), with orange arrows showing a subset of dots being drawn down into a small circle labeled</w:t>
      </w:r>
      <w:r>
        <w:t xml:space="preserve"> </w:t>
      </w:r>
      <w:r>
        <w:t xml:space="preserve">‘sample’</w:t>
      </w:r>
      <w:r>
        <w:t xml:space="preserve"> </w:t>
      </w:r>
      <w:r>
        <w:t xml:space="preserve">with its statistics (y-bar, s, s-squared), illustrating that a sample is used to estimate unknown population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4" w:name="setup-loading-the-class-pine-needle-data"/>
    <w:p>
      <w:pPr>
        <w:pStyle w:val="Heading2"/>
      </w:pPr>
      <w:r>
        <w:t xml:space="preserve">Setup — Loading the Class Pine Needle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Rows: 361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group     &lt;chr&gt; "five", "five", "five", "five", "five", "five", "five", "fiv…</w:t>
      </w:r>
      <w:r>
        <w:br/>
      </w:r>
      <w:r>
        <w:rPr>
          <w:rStyle w:val="VerbatimChar"/>
        </w:rPr>
        <w:t xml:space="preserve">$ tree_no   &lt;dbl&gt; 1, 1, 1, 1, 1, 1, 1, 1, 1, 1, 1, 1, 1, 1, 1, 1, 1, 1, 1, 1, …</w:t>
      </w:r>
      <w:r>
        <w:br/>
      </w:r>
      <w:r>
        <w:rPr>
          <w:rStyle w:val="VerbatimChar"/>
        </w:rPr>
        <w:t xml:space="preserve">$ tree_char &lt;chr&gt; "tree_1", "tree_1", "tree_1", "tree_1", "tree_1", "tree_1", 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length_mm &lt;dbl&gt; 22.66, 21.14, 18.55, 18.65, 20.99, 18.94, 19.75, 18.46, 20.5…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two sample T-tests, degrees of freedom = n₁ + n₂ − 2. With 8 needles per side, df = 8 + 8 − 2 = 14.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is the class team,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/</w:t>
            </w:r>
            <w:r>
              <w:rPr>
                <w:rStyle w:val="VerbatimChar"/>
              </w:rPr>
              <w:t xml:space="preserve">tree_char</w:t>
            </w:r>
            <w:r>
              <w:t xml:space="preserve"> </w:t>
            </w:r>
            <w:r>
              <w:t xml:space="preserve">identify the tree,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is the needle length.</w:t>
            </w:r>
          </w:p>
          <w:p/>
        </w:tc>
      </w:tr>
    </w:tbl>
    <w:bookmarkEnd w:id="24"/>
    <w:bookmarkStart w:id="28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Multiple needles per tree side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 Treating every needle as independent would inflate our sample size and our confidence — the same pseudoreplication trap from earlier in the course.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8"/>
    <w:bookmarkStart w:id="35" w:name="the-data-two-versions"/>
    <w:p>
      <w:pPr>
        <w:pStyle w:val="Heading2"/>
      </w:pPr>
      <w:r>
        <w:t xml:space="preserve">The Data — Two Versions</w:t>
      </w:r>
    </w:p>
    <w:p>
      <w:pPr>
        <w:pStyle w:val="SourceCode"/>
      </w:pP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class_pine needle length switched.xlsx</w:t>
            </w:r>
            <w:r>
              <w:t xml:space="preserve"> </w:t>
            </w:r>
            <w:r>
              <w:t xml:space="preserve">has the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/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labels swapped relative to the original file. From here on,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ps_df</w:t>
            </w:r>
            <w:r>
              <w:t xml:space="preserve"> </w:t>
            </w:r>
            <w:r>
              <w:t xml:space="preserve">(the switched version) is the dataset we’ll actually test — it’s the one that matches the field notes.</w:t>
            </w:r>
          </w:p>
          <w:p/>
        </w:tc>
      </w:tr>
    </w:tbl>
    <w:bookmarkEnd w:id="35"/>
    <w:bookmarkStart w:id="39" w:name="the-data-well-test-ps_df"/>
    <w:p>
      <w:pPr>
        <w:pStyle w:val="Heading2"/>
      </w:pPr>
      <w:r>
        <w:t xml:space="preserve">The Data We’ll Test —</w:t>
      </w:r>
      <w:r>
        <w:t xml:space="preserve"> </w:t>
      </w:r>
      <w:r>
        <w:rPr>
          <w:rStyle w:val="VerbatimChar"/>
        </w:rPr>
        <w:t xml:space="preserve">ps_df</w:t>
      </w:r>
    </w:p>
    <w:p>
      <w:pPr>
        <w:pStyle w:val="SourceCode"/>
      </w:pPr>
      <w:r>
        <w:rPr>
          <w:rStyle w:val="NormalTok"/>
        </w:rPr>
        <w:t xml:space="preserve">ps_plot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 switched"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Goals for today, using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ps_df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3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3"/>
        </w:numPr>
      </w:pPr>
      <w:r>
        <w:t xml:space="preserve">t-distributions</w:t>
      </w:r>
    </w:p>
    <w:p>
      <w:pPr>
        <w:pStyle w:val="Compact"/>
        <w:numPr>
          <w:ilvl w:val="0"/>
          <w:numId w:val="1003"/>
        </w:numPr>
      </w:pPr>
      <w:r>
        <w:t xml:space="preserve">One-sample, two-sample, and paired t-tests</w:t>
      </w:r>
    </w:p>
    <w:p>
      <w:pPr>
        <w:pStyle w:val="Compact"/>
        <w:numPr>
          <w:ilvl w:val="0"/>
          <w:numId w:val="1003"/>
        </w:numPr>
      </w:pPr>
      <w:r>
        <w:t xml:space="preserve">Assumption tests</w:t>
      </w:r>
    </w:p>
    <w:bookmarkEnd w:id="39"/>
    <w:bookmarkStart w:id="40" w:name="part-2-hypothesis-testing-framework"/>
    <w:p>
      <w:pPr>
        <w:pStyle w:val="Heading2"/>
      </w:pPr>
      <w:r>
        <w:t xml:space="preserve">Part 2 · Hypothesis Testing Framework</w:t>
      </w:r>
    </w:p>
    <w:bookmarkEnd w:id="40"/>
    <w:bookmarkStart w:id="43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typically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the claim we’re trying to support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Statistical test</w:t>
      </w:r>
      <w:r>
        <w:t xml:space="preserve"> </w:t>
      </w:r>
      <w:r>
        <w:t xml:space="preserve">— method for evaluating evidence against H₀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observing our result (or more extreme) if H₀ is true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p-value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 (Statistical Significance and P-Values).</w:t>
            </w:r>
          </w:p>
          <w:p/>
        </w:tc>
      </w:tr>
    </w:tbl>
    <w:bookmarkEnd w:id="43"/>
    <w:bookmarkStart w:id="46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H₀</w:t>
            </w:r>
          </w:p>
        </w:tc>
      </w:tr>
    </w:tbl>
    <w:bookmarkEnd w:id="46"/>
    <w:bookmarkStart w:id="47" w:name="part-3-the-t-distribution"/>
    <w:p>
      <w:pPr>
        <w:pStyle w:val="Heading2"/>
      </w:pPr>
      <w:r>
        <w:t xml:space="preserve">Part 3 · The t-Distribution</w:t>
      </w:r>
    </w:p>
    <w:bookmarkEnd w:id="47"/>
    <w:bookmarkStart w:id="54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value, for a one-sample test.</w:t>
      </w:r>
    </w:p>
    <w:p>
      <w:pPr>
        <w:pStyle w:val="Compact"/>
        <w:numPr>
          <w:ilvl w:val="0"/>
          <w:numId w:val="1006"/>
        </w:numPr>
      </w:pPr>
      <w:r>
        <w:t xml:space="preserve">n = 8 (df = 7) — 95% of the observations found to the left</w:t>
      </w:r>
    </w:p>
    <w:p>
      <w:pPr>
        <w:pStyle w:val="Compact"/>
        <w:numPr>
          <w:ilvl w:val="0"/>
          <w:numId w:val="1006"/>
        </w:numPr>
      </w:pPr>
      <w:r>
        <w:t xml:space="preserve">t = 1.895 (5% are outside)</w:t>
      </w:r>
    </w:p>
    <w:p>
      <w:pPr>
        <w:pStyle w:val="CaptionedFigure"/>
      </w:pPr>
      <w:r>
        <w:drawing>
          <wp:inline>
            <wp:extent cx="2543175" cy="1885950"/>
            <wp:effectExtent b="0" l="0" r="0" t="0"/>
            <wp:docPr descr="Bell-shaped t-distribution curve with the area to the left of t = 1.328 shaded, illustrating a one-tailed cutoff where the shaded region represents the proportion of the distribution below that t-value." title="" id="49" name="Picture"/>
            <a:graphic>
              <a:graphicData uri="http://schemas.openxmlformats.org/drawingml/2006/picture">
                <pic:pic>
                  <pic:nvPicPr>
                    <pic:cNvPr descr="images/clipboard-18224654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 = 1.328 shaded, illustrating a one-tailed cutoff where the shaded region represents the proportion of the distribution below that t-value.</w:t>
      </w:r>
    </w:p>
    <w:p>
      <w:pPr>
        <w:pStyle w:val="CaptionedFigure"/>
      </w:pPr>
      <w:r>
        <w:drawing>
          <wp:inline>
            <wp:extent cx="2857500" cy="1820801"/>
            <wp:effectExtent b="0" l="0" r="0" t="0"/>
            <wp:docPr descr="Student’s t critical-value table with the one-tail 0.05 column and df = 7 row highlighted, intersecting at the critical value 1.895, the value used for a one-tailed test at alpha = 0.05." title="" id="52" name="Picture"/>
            <a:graphic>
              <a:graphicData uri="http://schemas.openxmlformats.org/drawingml/2006/picture">
                <pic:pic>
                  <pic:nvPicPr>
                    <pic:cNvPr descr="images/clipboard-41031659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820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0.05 column and df = 7 row highlighted, intersecting at the critical value 1.895, the value used for a one-tailed test at alpha = 0.05.</w:t>
      </w:r>
    </w:p>
    <w:bookmarkEnd w:id="54"/>
    <w:bookmarkStart w:id="63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Compact"/>
        <w:numPr>
          <w:ilvl w:val="0"/>
          <w:numId w:val="1007"/>
        </w:numPr>
      </w:pPr>
      <w:r>
        <w:t xml:space="preserve">n = 8 (df = 7), 95% of the observations are between t = −2.365 and t = 2.365 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CaptionedFigure"/>
      </w:pPr>
      <w:r>
        <w:drawing>
          <wp:inline>
            <wp:extent cx="2286000" cy="1312606"/>
            <wp:effectExtent b="0" l="0" r="0" t="0"/>
            <wp:docPr descr="Bell-shaped t-distribution curve with both tails shaded beyond t = -1.729 and t = 1.729, illustrating a two-tailed cutoff where the two shaded regions together represent the proportion of the distribution outside that range." title="" id="56" name="Picture"/>
            <a:graphic>
              <a:graphicData uri="http://schemas.openxmlformats.org/drawingml/2006/picture">
                <pic:pic>
                  <pic:nvPicPr>
                    <pic:cNvPr descr="images/clipboard-223474015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 = -1.729 and t = 1.729, illustrating a two-tailed cutoff where the two shaded regions together represent the proportion of the distribution outside that range.</w:t>
      </w:r>
    </w:p>
    <w:p>
      <w:pPr>
        <w:pStyle w:val="CaptionedFigure"/>
      </w:pPr>
      <w:r>
        <w:drawing>
          <wp:inline>
            <wp:extent cx="2857500" cy="18122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59" name="Picture"/>
            <a:graphic>
              <a:graphicData uri="http://schemas.openxmlformats.org/drawingml/2006/picture">
                <pic:pic>
                  <pic:nvPicPr>
                    <pic:cNvPr descr="images/clipboard-1746531278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812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 — splitting 5% into two tails means each tail only gets 2.5%.</w:t>
            </w:r>
          </w:p>
          <w:p/>
        </w:tc>
      </w:tr>
    </w:tbl>
    <w:bookmarkEnd w:id="63"/>
    <w:bookmarkStart w:id="68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08"/>
        </w:numPr>
      </w:pPr>
      <w:r>
        <w:t xml:space="preserve">95% CI, Sample A: 17.6 ± 2.365 × (2.51 / 8^0.5) = ± 2.10</w:t>
      </w:r>
    </w:p>
    <w:p>
      <w:pPr>
        <w:pStyle w:val="Compact"/>
        <w:numPr>
          <w:ilvl w:val="0"/>
          <w:numId w:val="1008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08"/>
        </w:numPr>
      </w:pPr>
      <w:r>
        <w:t xml:space="preserve">“The 95% CI for the population mean from sample A is 17.6 ± 2.1”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11 — Inference for a Normal Population.</w:t>
            </w:r>
          </w:p>
          <w:p/>
        </w:tc>
      </w:tr>
    </w:tbl>
    <w:p>
      <w:pPr>
        <w:pStyle w:val="CaptionedFigure"/>
      </w:pPr>
      <w:r>
        <w:drawing>
          <wp:inline>
            <wp:extent cx="2857500" cy="18122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66" name="Picture"/>
            <a:graphic>
              <a:graphicData uri="http://schemas.openxmlformats.org/drawingml/2006/picture">
                <pic:pic>
                  <pic:nvPicPr>
                    <pic:cNvPr descr="images/clipboard-1746531278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812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bookmarkEnd w:id="68"/>
    <w:bookmarkStart w:id="71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two questions do you think a one-sample t-test answers, and which needs a two-sample t-test?</w:t>
            </w:r>
          </w:p>
          <w:p/>
        </w:tc>
      </w:tr>
    </w:tbl>
    <w:bookmarkEnd w:id="71"/>
    <w:bookmarkStart w:id="72" w:name="part-4-one-sample-t-test"/>
    <w:p>
      <w:pPr>
        <w:pStyle w:val="Heading2"/>
      </w:pPr>
      <w:r>
        <w:t xml:space="preserve">Part 4 · One-Sample T-Test</w:t>
      </w:r>
    </w:p>
    <w:bookmarkEnd w:id="72"/>
    <w:bookmarkStart w:id="75" w:name="X455c45d5cc962f37bfa1268d954eaf4d6a84db8"/>
    <w:p>
      <w:pPr>
        <w:pStyle w:val="Heading2"/>
      </w:pPr>
      <w:r>
        <w:t xml:space="preserve">One-Sample T-Test — Hypotheses and Assumptions</w:t>
      </w:r>
    </w:p>
    <w:p>
      <w:pPr>
        <w:pStyle w:val="FirstParagraph"/>
      </w:pPr>
      <w:r>
        <w:t xml:space="preserve">We want to test if the mean needle length on the shady side differs from 15mm.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11"/>
        </w:numPr>
      </w:pPr>
      <w:r>
        <w:t xml:space="preserve">H₀: μ = 15 (the mean needle length on the shady side is 15mm)</w:t>
      </w:r>
    </w:p>
    <w:p>
      <w:pPr>
        <w:pStyle w:val="Compact"/>
        <w:numPr>
          <w:ilvl w:val="0"/>
          <w:numId w:val="1011"/>
        </w:numPr>
      </w:pPr>
      <w:r>
        <w:t xml:space="preserve">Hₐ: μ ≠ 15 (the mean needle length on the shady side is not 15mm)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75"/>
    <w:bookmarkStart w:id="81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6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Points that hug the blue line support normality; points that curve away — especially in the tails — are a warning sign.</w:t>
            </w:r>
          </w:p>
          <w:p/>
        </w:tc>
      </w:tr>
    </w:tbl>
    <w:bookmarkEnd w:id="81"/>
    <w:bookmarkStart w:id="84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here — it means we fail to reject normality.</w:t>
            </w:r>
          </w:p>
          <w:p/>
        </w:tc>
      </w:tr>
    </w:tbl>
    <w:bookmarkEnd w:id="84"/>
    <w:bookmarkStart w:id="90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8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Points beyond the whiskers are potential outliers — always look before you test.</w:t>
            </w:r>
          </w:p>
          <w:p/>
        </w:tc>
      </w:tr>
    </w:tbl>
    <w:bookmarkEnd w:id="90"/>
    <w:bookmarkStart w:id="93" w:name="practice-exercise-1-one-sample-t-test"/>
    <w:p>
      <w:pPr>
        <w:pStyle w:val="Heading2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1: One-sample t-test</w:t>
            </w:r>
          </w:p>
          <w:p>
            <w:pPr>
              <w:pStyle w:val="BodyText"/>
            </w:pPr>
            <w:r>
              <w:t xml:space="preserve">Let’s perform a one-sample t-test to determine if the mean needle length on the shady side differs from 15mm: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93"/>
    <w:bookmarkStart w:id="99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5334000" cy="5020235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10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0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falls inside the red rejection region — that’s what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looks like on a t-distribution.</w:t>
            </w:r>
          </w:p>
          <w:p/>
        </w:tc>
      </w:tr>
    </w:tbl>
    <w:bookmarkEnd w:id="99"/>
    <w:bookmarkStart w:id="105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5334000" cy="4741333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11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test, same conclusion — just relabeled onto the millimeter scale instead of the t scale. The blue line (H₀ = 15) sits outside the sample’s plausible range.</w:t>
            </w:r>
          </w:p>
          <w:p/>
        </w:tc>
      </w:tr>
    </w:tbl>
    <w:bookmarkEnd w:id="105"/>
    <w:bookmarkStart w:id="108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4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4"/>
        </w:numPr>
      </w:pPr>
      <w:r>
        <w:t xml:space="preserve">Should we reject or fail to reject the null hypothesis?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 one-sample t-test at α = 0.05 showed that the mean needle length (… mm, SD = …) [was/was not] significantly different from the expected 15mm, t(…) = …, p = …”</w:t>
            </w:r>
          </w:p>
          <w:p/>
        </w:tc>
      </w:tr>
    </w:tbl>
    <w:bookmarkEnd w:id="108"/>
    <w:bookmarkStart w:id="109" w:name="part-5-two-sample-t-test"/>
    <w:p>
      <w:pPr>
        <w:pStyle w:val="Heading2"/>
      </w:pPr>
      <w:r>
        <w:t xml:space="preserve">Part 5 · Two-Sample T-Test</w:t>
      </w:r>
    </w:p>
    <w:bookmarkEnd w:id="109"/>
    <w:bookmarkStart w:id="113" w:name="two-sample-t-tests-introduction"/>
    <w:p>
      <w:pPr>
        <w:pStyle w:val="Heading2"/>
      </w:pPr>
      <w:r>
        <w:t xml:space="preserve">Two-Sample T-Tests — Introduction</w:t>
      </w:r>
    </w:p>
    <w:p>
      <w:pPr>
        <w:pStyle w:val="FirstParagraph"/>
      </w:pPr>
      <w:r>
        <w:t xml:space="preserve">For example — what is the probability that population X is the same as population Y?</w:t>
      </w:r>
    </w:p>
    <w:p>
      <w:pPr>
        <w:pStyle w:val="BodyText"/>
      </w:pPr>
      <w:r>
        <w:t xml:space="preserve">How would you assess this question using what we learned?</w:t>
      </w:r>
    </w:p>
    <w:p>
      <w:pPr>
        <w:pStyle w:val="BodyText"/>
      </w:pPr>
      <w:r>
        <w:t xml:space="preserve">This is what we will do with the needle length again…</w:t>
      </w:r>
    </w:p>
    <w:p>
      <w:pPr>
        <w:pStyle w:val="CaptionedFigure"/>
      </w:pPr>
      <w:r>
        <w:drawing>
          <wp:inline>
            <wp:extent cx="1943100" cy="1943100"/>
            <wp:effectExtent b="0" l="0" r="0" t="0"/>
            <wp:docPr descr="Photo of two separate green pine branches side by side, each with needle clusters, representing the two independent samples (populations X and Y) being compared in a two-sample t-test." title="" id="111" name="Picture"/>
            <a:graphic>
              <a:graphicData uri="http://schemas.openxmlformats.org/drawingml/2006/picture">
                <pic:pic>
                  <pic:nvPicPr>
                    <pic:cNvPr descr="images/two_branch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two separate green pine branches side by side, each with needle clusters, representing the two independent samples (populations X and Y) being compared in a two-sample t-test.</w:t>
      </w:r>
    </w:p>
    <w:bookmarkEnd w:id="113"/>
    <w:bookmarkStart w:id="119" w:name="comparing-two-samples"/>
    <w:p>
      <w:pPr>
        <w:pStyle w:val="Heading2"/>
      </w:pPr>
      <w:r>
        <w:t xml:space="preserve">Comparing Two Samples</w:t>
      </w:r>
    </w:p>
    <w:p>
      <w:pPr>
        <w:pStyle w:val="FirstParagraph"/>
      </w:pPr>
      <w:r>
        <w:t xml:space="preserve">What is the probability that population X is the same as population Y?</w:t>
      </w:r>
    </w:p>
    <w:p>
      <w:pPr>
        <w:pStyle w:val="BodyText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12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Based on the boxplot alone, what would you guess the two-sample t-test will conclude about needle length on the two sides?</w:t>
            </w:r>
          </w:p>
          <w:p/>
        </w:tc>
      </w:tr>
    </w:tbl>
    <w:bookmarkEnd w:id="119"/>
    <w:bookmarkStart w:id="122" w:name="X35a48391bcbf6b78dcbae43dc4f943f3e08dc72"/>
    <w:p>
      <w:pPr>
        <w:pStyle w:val="Heading2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2: Formulating hypotheses</w:t>
            </w:r>
          </w:p>
          <w:p>
            <w:pPr>
              <w:pStyle w:val="BodyText"/>
            </w:pPr>
            <w:r>
              <w:t xml:space="preserve">For the following research question about needle lengths, write the null and alternative hypotheses:</w:t>
            </w:r>
          </w:p>
          <w:p>
            <w:pPr>
              <w:pStyle w:val="BodyText"/>
            </w:pPr>
            <w:r>
              <w:t xml:space="preserve">Are needle lengths on shady and sunny sides different?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H0 =</w:t>
            </w:r>
            <w:r>
              <w:br/>
            </w:r>
            <w:r>
              <w:rPr>
                <w:rStyle w:val="VerbatimChar"/>
              </w:rPr>
              <w:t xml:space="preserve">Ha =</w:t>
            </w:r>
          </w:p>
          <w:p/>
        </w:tc>
      </w:tr>
    </w:tbl>
    <w:bookmarkEnd w:id="122"/>
    <w:bookmarkStart w:id="125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w:r>
        <w:t xml:space="preserve">Now let’s compare needle lengths from the two sides.</w:t>
      </w:r>
    </w:p>
    <w:p>
      <w:pPr>
        <w:pStyle w:val="BodyText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there a significant difference in needle length between the sides?</w:t>
      </w:r>
    </w:p>
    <w:p>
      <w:pPr>
        <w:pStyle w:val="BodyText"/>
      </w:pPr>
      <w:r>
        <w:t xml:space="preserve">This requires a two-sample t-test, which compares means from two independent groups.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5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5"/>
        </w:numPr>
      </w:pPr>
      <w:r>
        <w:t xml:space="preserve">s²ₚ: pooled variance = [(n₁−1)s₁² + (n₂−1)s₂²] / (n₁+n₂−2)</w:t>
      </w:r>
    </w:p>
    <w:p>
      <w:pPr>
        <w:pStyle w:val="Compact"/>
        <w:numPr>
          <w:ilvl w:val="0"/>
          <w:numId w:val="1015"/>
        </w:numPr>
      </w:pPr>
      <w:r>
        <w:t xml:space="preserve">n₁, n₂: sample sizes of the two groups</w:t>
      </w:r>
    </w:p>
    <w:p>
      <w:pPr>
        <w:pStyle w:val="Compact"/>
        <w:numPr>
          <w:ilvl w:val="0"/>
          <w:numId w:val="1015"/>
        </w:numPr>
      </w:pPr>
      <w:r>
        <w:t xml:space="preserve">√(1/n₁ + 1/n₂): the pooled 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25"/>
    <w:bookmarkStart w:id="128" w:name="practice-exercise-3-summary-statistics"/>
    <w:p>
      <w:pPr>
        <w:pStyle w:val="Heading2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3: Calculate summary statistics grouped by side</w:t>
            </w:r>
          </w:p>
          <w:p>
            <w:pPr>
              <w:pStyle w:val="BodyText"/>
            </w:pPr>
            <w:r>
              <w:t xml:space="preserve">Before conducting the test, we need to understand the data for each group.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    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 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  <w:p/>
        </w:tc>
      </w:tr>
    </w:tbl>
    <w:bookmarkEnd w:id="128"/>
    <w:bookmarkStart w:id="131" w:name="practice-exercise-4-effect-size"/>
    <w:p>
      <w:pPr>
        <w:pStyle w:val="Heading2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4: Effect size</w:t>
            </w:r>
          </w:p>
          <w:p>
            <w:pPr>
              <w:pStyle w:val="BodyText"/>
            </w:pPr>
            <w:r>
              <w:t xml:space="preserve">We could also look at the difference in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  <w:p/>
        </w:tc>
      </w:tr>
    </w:tbl>
    <w:bookmarkEnd w:id="131"/>
    <w:bookmarkStart w:id="137" w:name="X0dbcb5e263174c28fca12c3a7d1ea8291903c7e"/>
    <w:p>
      <w:pPr>
        <w:pStyle w:val="Heading2"/>
      </w:pPr>
      <w:r>
        <w:t xml:space="preserve">Practice Exercise 5: Plotting Mean ± SE Directly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5: Using ggplot to get a summary plot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can compute and plot the mean and standard error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5334000" cy="4333875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t_tests_lecture_files/figure-docx/unnamed-chunk-15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3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37"/>
    <w:bookmarkStart w:id="140" w:name="X78e243ba712c32e5bbdea402b7192e8bb10a57b"/>
    <w:p>
      <w:pPr>
        <w:pStyle w:val="Heading2"/>
      </w:pPr>
      <w:r>
        <w:t xml:space="preserve">Testing Assumptions for a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16"/>
        </w:numPr>
      </w:pPr>
      <w:r>
        <w:t xml:space="preserve">Normality within each group</w:t>
      </w:r>
    </w:p>
    <w:p>
      <w:pPr>
        <w:pStyle w:val="Compact"/>
        <w:numPr>
          <w:ilvl w:val="0"/>
          <w:numId w:val="1016"/>
        </w:numPr>
      </w:pPr>
      <w:r>
        <w:t xml:space="preserve">Equal variances between groups (for the standard t-test)</w:t>
      </w:r>
    </w:p>
    <w:p>
      <w:pPr>
        <w:pStyle w:val="Compact"/>
        <w:numPr>
          <w:ilvl w:val="0"/>
          <w:numId w:val="101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1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17"/>
        </w:numPr>
      </w:pPr>
      <w:r>
        <w:t xml:space="preserve">Non-parametric alternatives (Mann-Whitney U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 — Handling Violations of Assumptions, covers non-parametric alternatives when normality or equal variance fails.</w:t>
            </w:r>
          </w:p>
          <w:p/>
        </w:tc>
      </w:tr>
    </w:tbl>
    <w:bookmarkEnd w:id="140"/>
    <w:bookmarkStart w:id="143" w:name="practice-exercise-6-separate-group-data"/>
    <w:p>
      <w:pPr>
        <w:pStyle w:val="Heading2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6: separate group data</w:t>
            </w:r>
          </w:p>
          <w:p>
            <w:pPr>
              <w:pStyle w:val="BodyText"/>
            </w:pPr>
            <w:r>
              <w:t xml:space="preserve">Note you need to test each group separately for normality — first, split the data: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  <w:p/>
        </w:tc>
      </w:tr>
    </w:tbl>
    <w:bookmarkEnd w:id="143"/>
    <w:bookmarkStart w:id="146" w:name="X759a0f9024f66bcafc12060e563b361d71d5e7b"/>
    <w:p>
      <w:pPr>
        <w:pStyle w:val="Heading2"/>
      </w:pPr>
      <w:r>
        <w:t xml:space="preserve">Practice Exercise 7: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7: test normality at one time</w:t>
            </w:r>
          </w:p>
          <w:p>
            <w:pPr>
              <w:pStyle w:val="BodyText"/>
            </w:pPr>
            <w:r>
              <w:t xml:space="preserve">There are always a lot of ways to do this in 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146"/>
    <w:bookmarkStart w:id="149" w:name="practice-exercise-8-test-equal-variances"/>
    <w:p>
      <w:pPr>
        <w:pStyle w:val="Heading2"/>
      </w:pPr>
      <w:r>
        <w:t xml:space="preserve">Practice Exercise 8: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8: test equal variances</w:t>
            </w:r>
          </w:p>
          <w:p>
            <w:pPr>
              <w:pStyle w:val="BodyText"/>
            </w:pPr>
            <w:r>
              <w:t xml:space="preserve">Levene’s test can be done on the original data frame.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</w:t>
            </w:r>
            <w:r>
              <w:t xml:space="preserve"> </w:t>
            </w:r>
            <w:r>
              <w:t xml:space="preserve">the Levene’s test result should be</w:t>
            </w:r>
            <w:r>
              <w:t xml:space="preserve"> </w:t>
            </w:r>
            <w:r>
              <w:rPr>
                <w:b/>
                <w:bCs/>
              </w:rPr>
              <w:t xml:space="preserve">NOT significant</w:t>
            </w:r>
            <w:r>
              <w:t xml:space="preserve"> </w:t>
            </w:r>
            <w:r>
              <w:t xml:space="preserve">— what is the null hypothesis here?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149"/>
    <w:bookmarkStart w:id="150" w:name="X2f3e303b4abd6c0c9ec50ec40a7c69e358a3e24"/>
    <w:p>
      <w:pPr>
        <w:pStyle w:val="Heading2"/>
      </w:pPr>
      <w:r>
        <w:t xml:space="preserve">Conducting the Two-Sample T-Test — Standard</w:t>
      </w:r>
    </w:p>
    <w:p>
      <w:pPr>
        <w:pStyle w:val="FirstParagraph"/>
      </w:pPr>
      <w:r>
        <w:t xml:space="preserve">Now we can compare the mean needle lengths between shady and sunny sides.</w:t>
      </w:r>
    </w:p>
    <w:p>
      <w:pPr>
        <w:pStyle w:val="Compact"/>
        <w:numPr>
          <w:ilvl w:val="0"/>
          <w:numId w:val="1018"/>
        </w:numPr>
      </w:pPr>
      <w:r>
        <w:t xml:space="preserve">H₀: μ₁ = μ₂ (the needle lengths do not differ)</w:t>
      </w:r>
    </w:p>
    <w:p>
      <w:pPr>
        <w:pStyle w:val="Compact"/>
        <w:numPr>
          <w:ilvl w:val="0"/>
          <w:numId w:val="1018"/>
        </w:numPr>
      </w:pPr>
      <w:r>
        <w:t xml:space="preserve">Hₐ: μ₁ ≠ μ₂ (the mean needle lengths differ — direction not specified)</w:t>
      </w:r>
    </w:p>
    <w:p>
      <w:pPr>
        <w:pStyle w:val="FirstParagraph"/>
      </w:pPr>
      <w:r>
        <w:t xml:space="preserve">Deciding between: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19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Use var.equal = TRUE for standard t-test,</w:t>
      </w:r>
      <w:r>
        <w:br/>
      </w:r>
      <w:r>
        <w:rPr>
          <w:rStyle w:val="CommentTok"/>
        </w:rPr>
        <w:t xml:space="preserve"># var.equal = FALSE for Welch's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50"/>
    <w:bookmarkStart w:id="151" w:name="conducting-the-two-sample-t-test-welchs"/>
    <w:p>
      <w:pPr>
        <w:pStyle w:val="Heading2"/>
      </w:pPr>
      <w:r>
        <w:t xml:space="preserve">Conducting the Two-Sample T-Test — Welch’s</w:t>
      </w:r>
    </w:p>
    <w:p>
      <w:pPr>
        <w:pStyle w:val="FirstParagraph"/>
      </w:pPr>
      <w:r>
        <w:t xml:space="preserve">Now we can compare the mean needle lengths between shady and sunny sides.</w:t>
      </w:r>
    </w:p>
    <w:p>
      <w:pPr>
        <w:pStyle w:val="Compact"/>
        <w:numPr>
          <w:ilvl w:val="0"/>
          <w:numId w:val="1020"/>
        </w:numPr>
      </w:pPr>
      <w:r>
        <w:t xml:space="preserve">H₀: μ₁ = μ₂ (the needle lengths do not differ)</w:t>
      </w:r>
    </w:p>
    <w:p>
      <w:pPr>
        <w:pStyle w:val="Compact"/>
        <w:numPr>
          <w:ilvl w:val="0"/>
          <w:numId w:val="1020"/>
        </w:numPr>
      </w:pPr>
      <w:r>
        <w:t xml:space="preserve">Hₐ: μ₁ ≠ μ₂ (the mean needle lengths differ — direction not specified)</w:t>
      </w:r>
    </w:p>
    <w:p>
      <w:pPr>
        <w:pStyle w:val="FirstParagraph"/>
      </w:pPr>
      <w:r>
        <w:t xml:space="preserve">Deciding between:</w:t>
      </w:r>
    </w:p>
    <w:p>
      <w:pPr>
        <w:pStyle w:val="Compact"/>
        <w:numPr>
          <w:ilvl w:val="0"/>
          <w:numId w:val="1021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Welch’s t-test (unequal variances)</w:t>
      </w:r>
    </w:p>
    <w:p>
      <w:pPr>
        <w:pStyle w:val="SourceCode"/>
      </w:pP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"Welch's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51"/>
    <w:bookmarkStart w:id="152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 t-test)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22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22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22"/>
        </w:numPr>
      </w:pPr>
      <w:r>
        <w:t xml:space="preserve">Degrees of freedom = n₁ + n₂ − 2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(the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3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23"/>
        </w:numPr>
      </w:pPr>
      <w:r>
        <w:t xml:space="preserve">Uses the</w:t>
      </w:r>
      <w:r>
        <w:t xml:space="preserve"> </w:t>
      </w:r>
      <w:r>
        <w:rPr>
          <w:b/>
          <w:bCs/>
        </w:rPr>
        <w:t xml:space="preserve">Welch-Satterthwaite equation</w:t>
      </w:r>
      <w:r>
        <w:t xml:space="preserve"> </w:t>
      </w:r>
      <w:r>
        <w:t xml:space="preserve">— df is typically non-integer and smaller than the standard t-test’s</w:t>
      </w:r>
    </w:p>
    <w:bookmarkEnd w:id="152"/>
    <w:bookmarkStart w:id="158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 t(…) = …, p = …”</w:t>
            </w:r>
          </w:p>
          <w:p/>
        </w:tc>
      </w:tr>
    </w:tbl>
    <w:p>
      <w:pPr>
        <w:pStyle w:val="BodyText"/>
      </w:pPr>
      <w:r>
        <w:drawing>
          <wp:inline>
            <wp:extent cx="5334000" cy="5020235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21-1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0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59" w:name="part-6-paired-t-test"/>
    <w:p>
      <w:pPr>
        <w:pStyle w:val="Heading2"/>
      </w:pPr>
      <w:r>
        <w:t xml:space="preserve">Part 6 · Paired T-Test</w:t>
      </w:r>
    </w:p>
    <w:bookmarkEnd w:id="159"/>
    <w:bookmarkStart w:id="162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4"/>
        </w:numPr>
      </w:pPr>
      <w:r>
        <w:t xml:space="preserve">Compares two measurements from the same subjects or matched pairs</w:t>
      </w:r>
    </w:p>
    <w:p>
      <w:pPr>
        <w:pStyle w:val="Compact"/>
        <w:numPr>
          <w:ilvl w:val="0"/>
          <w:numId w:val="1024"/>
        </w:numPr>
      </w:pPr>
      <w:r>
        <w:t xml:space="preserve">Tests whether the mean difference between paired observations equals zero</w:t>
      </w:r>
    </w:p>
    <w:p>
      <w:pPr>
        <w:pStyle w:val="Compact"/>
        <w:numPr>
          <w:ilvl w:val="0"/>
          <w:numId w:val="1024"/>
        </w:numPr>
      </w:pPr>
      <w:r>
        <w:t xml:space="preserve">Examples: before/after measurements on the same individuals, left vs. right measurements, matched case-control studies</w:t>
      </w:r>
    </w:p>
    <w:p>
      <w:pPr>
        <w:pStyle w:val="Compact"/>
        <w:numPr>
          <w:ilvl w:val="0"/>
          <w:numId w:val="1024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4"/>
        </w:numPr>
      </w:pPr>
      <w:r>
        <w:t xml:space="preserve">Generally more powerful, because it controls for individual variation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12, section on the paired design.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"Paired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"Paired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bookmarkEnd w:id="162"/>
    <w:bookmarkStart w:id="166" w:name="what-is-going-on"/>
    <w:p>
      <w:pPr>
        <w:pStyle w:val="Heading2"/>
      </w:pPr>
      <w:r>
        <w:t xml:space="preserve">What Is Going On?</w:t>
      </w:r>
    </w:p>
    <w:p>
      <w:pPr>
        <w:pStyle w:val="FirstParagraph"/>
      </w:pPr>
      <w:r>
        <w:t xml:space="preserve">Note that there is a lot of variation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trees, but the trend is the same across trees.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23-1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6"/>
    <w:bookmarkStart w:id="167" w:name="part-7-assumptions-and-wrap-up"/>
    <w:p>
      <w:pPr>
        <w:pStyle w:val="Heading2"/>
      </w:pPr>
      <w:r>
        <w:t xml:space="preserve">Part 7 · Assumptions and Wrap-Up</w:t>
      </w:r>
    </w:p>
    <w:bookmarkEnd w:id="167"/>
    <w:bookmarkStart w:id="168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5"/>
        </w:numPr>
      </w:pPr>
      <w:r>
        <w:t xml:space="preserve">Normality — data comes from normally distributed populations</w:t>
      </w:r>
    </w:p>
    <w:p>
      <w:pPr>
        <w:pStyle w:val="Compact"/>
        <w:numPr>
          <w:ilvl w:val="0"/>
          <w:numId w:val="1025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5"/>
        </w:numPr>
      </w:pPr>
      <w:r>
        <w:t xml:space="preserve">Independence — observations are independent</w:t>
      </w:r>
    </w:p>
    <w:p>
      <w:pPr>
        <w:pStyle w:val="Compact"/>
        <w:numPr>
          <w:ilvl w:val="0"/>
          <w:numId w:val="1025"/>
        </w:numPr>
      </w:pPr>
      <w:r>
        <w:t xml:space="preserve">No outliers —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6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26"/>
        </w:numPr>
      </w:pPr>
      <w:r>
        <w:t xml:space="preserve">Non-parametric tests</w:t>
      </w:r>
    </w:p>
    <w:p>
      <w:pPr>
        <w:pStyle w:val="Compact"/>
        <w:numPr>
          <w:ilvl w:val="0"/>
          <w:numId w:val="1026"/>
        </w:numPr>
      </w:pPr>
      <w:r>
        <w:t xml:space="preserve">Robust statistical methods</w:t>
      </w:r>
    </w:p>
    <w:bookmarkEnd w:id="168"/>
    <w:bookmarkStart w:id="17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lecture, we’ve:</w:t>
      </w:r>
    </w:p>
    <w:p>
      <w:pPr>
        <w:pStyle w:val="Compact"/>
        <w:numPr>
          <w:ilvl w:val="0"/>
          <w:numId w:val="102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2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27"/>
        </w:numPr>
      </w:pPr>
      <w:r>
        <w:t xml:space="preserve">Conducted one-sample, two-sample, and paired t-tests</w:t>
      </w:r>
    </w:p>
    <w:p>
      <w:pPr>
        <w:pStyle w:val="Compact"/>
        <w:numPr>
          <w:ilvl w:val="0"/>
          <w:numId w:val="102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27"/>
        </w:numPr>
      </w:pPr>
      <w:r>
        <w:t xml:space="preserve">Learned how to interpret and report t-test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Always check assumptions before conducting tests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Visualize your data to understand patterns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results comprehensively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Consider alternatives when assumptions are violated — non-parametric tests, coming up soon</w:t>
            </w:r>
          </w:p>
          <w:p/>
        </w:tc>
      </w:tr>
    </w:tbl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32" Target="media/rId32.png" /><Relationship Type="http://schemas.openxmlformats.org/officeDocument/2006/relationships/image" Id="rId58" Target="media/rId58.png" /><Relationship Type="http://schemas.openxmlformats.org/officeDocument/2006/relationships/image" Id="rId48" Target="media/rId48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110" Target="media/rId110.jpg" /><Relationship Type="http://schemas.openxmlformats.org/officeDocument/2006/relationships/image" Id="rId94" Target="media/rId94.png" /><Relationship Type="http://schemas.openxmlformats.org/officeDocument/2006/relationships/image" Id="rId100" Target="media/rId100.png" /><Relationship Type="http://schemas.openxmlformats.org/officeDocument/2006/relationships/image" Id="rId114" Target="media/rId114.png" /><Relationship Type="http://schemas.openxmlformats.org/officeDocument/2006/relationships/image" Id="rId134" Target="media/rId134.png" /><Relationship Type="http://schemas.openxmlformats.org/officeDocument/2006/relationships/image" Id="rId155" Target="media/rId155.png" /><Relationship Type="http://schemas.openxmlformats.org/officeDocument/2006/relationships/image" Id="rId163" Target="media/rId163.png" /><Relationship Type="http://schemas.openxmlformats.org/officeDocument/2006/relationships/image" Id="rId29" Target="media/rId29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85" Target="media/rId8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T-Tests: One, Two, Paired</dc:title>
  <dc:creator>Bill Perry</dc:creator>
  <dc:description>The hypothesis-testing framework, the t-distribution, and one-sample, two-sample (Student’s and Welch’s), and paired t-tests — with assumption checks — on the class pine needle dataset.</dc:description>
  <cp:keywords/>
  <dcterms:created xsi:type="dcterms:W3CDTF">2026-08-24T18:46:03Z</dcterms:created>
  <dcterms:modified xsi:type="dcterms:W3CDTF">2026-08-24T18:46:03Z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Comparing means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