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45.png" ContentType="image/png"/>
  <Override PartName="/word/media/rId50.png" ContentType="image/png"/>
  <Override PartName="/word/media/rId57.png" ContentType="image/png"/>
  <Override PartName="/word/media/rId62.png" ContentType="image/png"/>
  <Override PartName="/word/media/rId66.png" ContentType="image/png"/>
  <Override PartName="/word/media/rId76.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One-sample, two-sample, and</w:t>
      </w:r>
      <w:r>
        <w:t xml:space="preserve"> </w:t>
      </w:r>
      <w:r>
        <w:rPr>
          <w:b/>
          <w:bCs/>
        </w:rPr>
        <w:t xml:space="preserve">paired</w:t>
      </w:r>
      <w:r>
        <w:t xml:space="preserve"> </w:t>
      </w:r>
      <w:r>
        <w:t xml:space="preserve">t-tests — and how much more the paired test got out of the same four trees</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CaptionedFigure"/>
      </w:pPr>
      <w:r>
        <w:drawing>
          <wp:inline>
            <wp:extent cx="2852928" cy="1901952"/>
            <wp:effectExtent b="0" l="0" r="0" t="0"/>
            <wp:docPr descr="Photo comparing needle length and bundle count across six pine species (Pinus ponderosa, nigra, resinosa, strobus, sylvestris, banksiana)."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2928" cy="1901952"/>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w:t>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CaptionedFigure"/>
      </w:pPr>
      <w:r>
        <w:drawing>
          <wp:inline>
            <wp:extent cx="2852928" cy="1261871"/>
            <wp:effectExtent b="0" l="0" r="0" t="0"/>
            <wp:docPr descr="Illustration of a lake trout in profile, showing its mottled brown-and-cream coloring and forked tail, the species whose weight and length data are used throughout this lecture."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2928" cy="1261871"/>
                    </a:xfrm>
                    <a:prstGeom prst="rect">
                      <a:avLst/>
                    </a:prstGeom>
                    <a:noFill/>
                    <a:ln w="9525">
                      <a:noFill/>
                      <a:headEnd/>
                      <a:tailEnd/>
                    </a:ln>
                  </pic:spPr>
                </pic:pic>
              </a:graphicData>
            </a:graphic>
          </wp:inline>
        </w:drawing>
      </w:r>
    </w:p>
    <w:p>
      <w:pPr>
        <w:pStyle w:val="ImageCaption"/>
      </w:pPr>
      <w:r>
        <w:t xml:space="preserve">Illustration of a lake trout in profile, showing its mottled brown-and-cream coloring and forked tail, the species whose weight and length data are used throughout this lecture.</w:t>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CaptionedFigure"/>
      </w:pPr>
      <w:r>
        <w:drawing>
          <wp:inline>
            <wp:extent cx="2852928" cy="2432304"/>
            <wp:effectExtent b="0" l="0" r="0" t="0"/>
            <wp:docPr descr="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2928" cy="2432304"/>
                    </a:xfrm>
                    <a:prstGeom prst="rect">
                      <a:avLst/>
                    </a:prstGeom>
                    <a:noFill/>
                    <a:ln w="9525">
                      <a:noFill/>
                      <a:headEnd/>
                      <a:tailEnd/>
                    </a:ln>
                  </pic:spPr>
                </pic:pic>
              </a:graphicData>
            </a:graphic>
          </wp:inline>
        </w:drawing>
      </w:r>
    </w:p>
    <w:p>
      <w:pPr>
        <w:pStyle w:val="ImageCaption"/>
      </w:pPr>
      <w:r>
        <w:t xml:space="preserve">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w:t>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CaptionedFigure"/>
      </w:pPr>
      <w:r>
        <w:drawing>
          <wp:inline>
            <wp:extent cx="2852928" cy="2377440"/>
            <wp:effectExtent b="0" l="0" r="0" t="0"/>
            <wp:docPr descr="Three probability density curves for a right-skewed distribution family at different sigma values (0.25, 0.5, 1) with mu = 0, showing how larger sigma produces a flatter, more spread-out, and less peaked skewed curve."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Three probability density curves for a right-skewed distribution family at different sigma values (0.25, 0.5, 1) with mu = 0, showing how larger sigma produces a flatter, more spread-out, and less peaked skewed curve.</w:t>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CaptionedFigure"/>
      </w:pPr>
      <w:r>
        <w:drawing>
          <wp:inline>
            <wp:extent cx="2304288" cy="2770632"/>
            <wp:effectExtent b="0" l="0" r="0" t="0"/>
            <wp:docPr descr="Diagram of a large circle labeled ‘population’ full of dots, with orange arrows showing a subset being drawn down into a small circle labeled ‘sample’, illustrating random sampling from a population."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4288" cy="27706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orange arrows showing a subset being drawn down into a small circle labeled</w:t>
      </w:r>
      <w:r>
        <w:t xml:space="preserve"> </w:t>
      </w:r>
      <w:r>
        <w:t xml:space="preserve">‘sample’</w:t>
      </w:r>
      <w:r>
        <w:t xml:space="preserve">, illustrating random sampling from a population.</w:t>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3669832" cy="3302849"/>
            <wp:effectExtent b="0" l="0" r="0" t="0"/>
            <wp:docPr descr="" title="" id="46" name="Picture"/>
            <a:graphic>
              <a:graphicData uri="http://schemas.openxmlformats.org/drawingml/2006/picture">
                <pic:pic>
                  <pic:nvPicPr>
                    <pic:cNvPr descr="nonparametric_t_tests_lecture_files/figure-docx/nonparametric-t-tests-04-1.png" id="47" name="Picture"/>
                    <pic:cNvPicPr>
                      <a:picLocks noChangeArrowheads="1" noChangeAspect="1"/>
                    </pic:cNvPicPr>
                  </pic:nvPicPr>
                  <pic:blipFill>
                    <a:blip r:embed="rId45"/>
                    <a:stretch>
                      <a:fillRect/>
                    </a:stretch>
                  </pic:blipFill>
                  <pic:spPr bwMode="auto">
                    <a:xfrm>
                      <a:off x="0" y="0"/>
                      <a:ext cx="3669832" cy="3302849"/>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2935866" cy="2568882"/>
            <wp:effectExtent b="0" l="0" r="0" t="0"/>
            <wp:docPr descr="" title="" id="51" name="Picture"/>
            <a:graphic>
              <a:graphicData uri="http://schemas.openxmlformats.org/drawingml/2006/picture">
                <pic:pic>
                  <pic:nvPicPr>
                    <pic:cNvPr descr="nonparametric_t_tests_lecture_files/figure-docx/nonparametric-t-tests-06-1.png" id="52" name="Picture"/>
                    <pic:cNvPicPr>
                      <a:picLocks noChangeArrowheads="1" noChangeAspect="1"/>
                    </pic:cNvPicPr>
                  </pic:nvPicPr>
                  <pic:blipFill>
                    <a:blip r:embed="rId50"/>
                    <a:stretch>
                      <a:fillRect/>
                    </a:stretch>
                  </pic:blipFill>
                  <pic:spPr bwMode="auto">
                    <a:xfrm>
                      <a:off x="0" y="0"/>
                      <a:ext cx="2935866" cy="2568882"/>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2935866" cy="2568882"/>
            <wp:effectExtent b="0" l="0" r="0" t="0"/>
            <wp:docPr descr="" title="" id="58" name="Picture"/>
            <a:graphic>
              <a:graphicData uri="http://schemas.openxmlformats.org/drawingml/2006/picture">
                <pic:pic>
                  <pic:nvPicPr>
                    <pic:cNvPr descr="nonparametric_t_tests_lecture_files/figure-docx/nonparametric-t-tests-07-1.png" id="59" name="Picture"/>
                    <pic:cNvPicPr>
                      <a:picLocks noChangeArrowheads="1" noChangeAspect="1"/>
                    </pic:cNvPicPr>
                  </pic:nvPicPr>
                  <pic:blipFill>
                    <a:blip r:embed="rId57"/>
                    <a:stretch>
                      <a:fillRect/>
                    </a:stretch>
                  </pic:blipFill>
                  <pic:spPr bwMode="auto">
                    <a:xfrm>
                      <a:off x="0" y="0"/>
                      <a:ext cx="2935866" cy="2568882"/>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2935866" cy="3669832"/>
            <wp:effectExtent b="0" l="0" r="0" t="0"/>
            <wp:docPr descr="" title="" id="63" name="Picture"/>
            <a:graphic>
              <a:graphicData uri="http://schemas.openxmlformats.org/drawingml/2006/picture">
                <pic:pic>
                  <pic:nvPicPr>
                    <pic:cNvPr descr="nonparametric_t_tests_lecture_files/figure-docx/nonparametric-t-tests-08-1.png" id="64" name="Picture"/>
                    <pic:cNvPicPr>
                      <a:picLocks noChangeArrowheads="1" noChangeAspect="1"/>
                    </pic:cNvPicPr>
                  </pic:nvPicPr>
                  <pic:blipFill>
                    <a:blip r:embed="rId62"/>
                    <a:stretch>
                      <a:fillRect/>
                    </a:stretch>
                  </pic:blipFill>
                  <pic:spPr bwMode="auto">
                    <a:xfrm>
                      <a:off x="0" y="0"/>
                      <a:ext cx="2935866" cy="3669832"/>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3119357" cy="2568882"/>
            <wp:effectExtent b="0" l="0" r="0" t="0"/>
            <wp:docPr descr="" title="" id="67" name="Picture"/>
            <a:graphic>
              <a:graphicData uri="http://schemas.openxmlformats.org/drawingml/2006/picture">
                <pic:pic>
                  <pic:nvPicPr>
                    <pic:cNvPr descr="nonparametric_t_tests_lecture_files/figure-docx/nonparametric-t-tests-09-1.png" id="68" name="Picture"/>
                    <pic:cNvPicPr>
                      <a:picLocks noChangeArrowheads="1" noChangeAspect="1"/>
                    </pic:cNvPicPr>
                  </pic:nvPicPr>
                  <pic:blipFill>
                    <a:blip r:embed="rId66"/>
                    <a:stretch>
                      <a:fillRect/>
                    </a:stretch>
                  </pic:blipFill>
                  <pic:spPr bwMode="auto">
                    <a:xfrm>
                      <a:off x="0" y="0"/>
                      <a:ext cx="3119357" cy="2568882"/>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CaptionedFigure"/>
      </w:pPr>
      <w:r>
        <w:drawing>
          <wp:inline>
            <wp:extent cx="2852928" cy="2450592"/>
            <wp:effectExtent b="0" l="0" r="0" t="0"/>
            <wp:docPr descr="Reference chart of six common data transformations (square root, logarithm, inverse, and their ‘reflect and’ variants for left-skewed data), each shown as a small curve with its transformation formula, used to pick a transformation that matches a variable’s skew shape."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2928" cy="2450592"/>
                    </a:xfrm>
                    <a:prstGeom prst="rect">
                      <a:avLst/>
                    </a:prstGeom>
                    <a:noFill/>
                    <a:ln w="9525">
                      <a:noFill/>
                      <a:headEnd/>
                      <a:tailEnd/>
                    </a:ln>
                  </pic:spPr>
                </pic:pic>
              </a:graphicData>
            </a:graphic>
          </wp:inline>
        </w:drawing>
      </w:r>
    </w:p>
    <w:p>
      <w:pPr>
        <w:pStyle w:val="ImageCaption"/>
      </w:pPr>
      <w:r>
        <w:t xml:space="preserve">Reference chart of six common data transformations (square root, logarithm, inverse, and their</w:t>
      </w:r>
      <w:r>
        <w:t xml:space="preserve"> </w:t>
      </w:r>
      <w:r>
        <w:t xml:space="preserve">‘reflect and’</w:t>
      </w:r>
      <w:r>
        <w:t xml:space="preserve"> </w:t>
      </w:r>
      <w:r>
        <w:t xml:space="preserve">variants for left-skewed data), each shown as a small curve with its transformation formula, used to pick a transformation that matches a variable’s skew shape.</w:t>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3119357" cy="2568882"/>
            <wp:effectExtent b="0" l="0" r="0" t="0"/>
            <wp:docPr descr="" title="" id="77" name="Picture"/>
            <a:graphic>
              <a:graphicData uri="http://schemas.openxmlformats.org/drawingml/2006/picture">
                <pic:pic>
                  <pic:nvPicPr>
                    <pic:cNvPr descr="nonparametric_t_tests_lecture_files/figure-docx/nonparametric-t-tests-10-1.png" id="78" name="Picture"/>
                    <pic:cNvPicPr>
                      <a:picLocks noChangeArrowheads="1" noChangeAspect="1"/>
                    </pic:cNvPicPr>
                  </pic:nvPicPr>
                  <pic:blipFill>
                    <a:blip r:embed="rId76"/>
                    <a:stretch>
                      <a:fillRect/>
                    </a:stretch>
                  </pic:blipFill>
                  <pic:spPr bwMode="auto">
                    <a:xfrm>
                      <a:off x="0" y="0"/>
                      <a:ext cx="3119357" cy="2568882"/>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5b-back-to-our-pine-needles"/>
    <w:p>
      <w:pPr>
        <w:pStyle w:val="Heading2"/>
      </w:pPr>
      <w:r>
        <w:t xml:space="preserve">Part 5b · Back to Our Pine Needles</w:t>
      </w:r>
    </w:p>
    <w:bookmarkEnd w:id="88"/>
    <w:bookmarkStart w:id="92" w:name="the-same-question-the-non-parametric-way"/>
    <w:p>
      <w:pPr>
        <w:pStyle w:val="Heading2"/>
      </w:pPr>
      <w:r>
        <w:t xml:space="preserve">The same question, the non-parametric way</w:t>
      </w:r>
    </w:p>
    <w:p>
      <w:pPr>
        <w:pStyle w:val="FirstParagraph"/>
      </w:pPr>
      <w:r>
        <w:t xml:space="preserve">Last week we tested our own needle data two ways. Let’s run the rank-based versions of</w:t>
      </w:r>
      <w:r>
        <w:t xml:space="preserve"> </w:t>
      </w:r>
      <w:r>
        <w:rPr>
          <w:b/>
          <w:bCs/>
        </w:rPr>
        <w:t xml:space="preserve">exactly the same two comparisons</w:t>
      </w:r>
      <w:r>
        <w:t xml:space="preserve"> </w:t>
      </w:r>
      <w:r>
        <w:t xml:space="preserve">and see what changes.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last week: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p_wide_df</w:t>
      </w:r>
    </w:p>
    <w:p>
      <w:pPr>
        <w:pStyle w:val="SourceCode"/>
      </w:pPr>
      <w:r>
        <w:rPr>
          <w:rStyle w:val="VerbatimChar"/>
        </w:rPr>
        <w:t xml:space="preserve"># A tibble: 4 × 3</w:t>
      </w:r>
      <w:r>
        <w:br/>
      </w:r>
      <w:r>
        <w:rPr>
          <w:rStyle w:val="VerbatimChar"/>
        </w:rPr>
        <w:t xml:space="preserve">  team       shady sunny</w:t>
      </w:r>
      <w:r>
        <w:br/>
      </w:r>
      <w:r>
        <w:rPr>
          <w:rStyle w:val="VerbatimChar"/>
        </w:rPr>
        <w:t xml:space="preserve">  &lt;chr&gt;      &lt;dbl&gt; &lt;dbl&gt;</w:t>
      </w:r>
      <w:r>
        <w:br/>
      </w:r>
      <w:r>
        <w:rPr>
          <w:rStyle w:val="VerbatimChar"/>
        </w:rPr>
        <w:t xml:space="preserve">1 botany      16.1  17.3</w:t>
      </w:r>
      <w:r>
        <w:br/>
      </w:r>
      <w:r>
        <w:rPr>
          <w:rStyle w:val="VerbatimChar"/>
        </w:rPr>
        <w:t xml:space="preserve">2 grace_jace  15.4  15.5</w:t>
      </w:r>
      <w:r>
        <w:br/>
      </w:r>
      <w:r>
        <w:rPr>
          <w:rStyle w:val="VerbatimChar"/>
        </w:rPr>
        <w:t xml:space="preserve">3 one         13.2  14.2</w:t>
      </w:r>
      <w:r>
        <w:br/>
      </w:r>
      <w:r>
        <w:rPr>
          <w:rStyle w:val="VerbatimChar"/>
        </w:rPr>
        <w:t xml:space="preserve">4 waterbugs   11.7  13.8</w:t>
      </w:r>
    </w:p>
    <w:p>
      <w:pPr>
        <w:pStyle w:val="FirstParagraph"/>
      </w:pPr>
      <w:hyperlink r:id="rId89">
        <w:r>
          <w:rPr>
            <w:rStyle w:val="Hyperlink"/>
          </w:rPr>
          <w:t xml:space="preserve">📥 Download the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note.png" id="9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Reminder</w:t>
            </w:r>
          </w:p>
          <w:p>
            <w:pPr>
              <w:pStyle w:val="BodyText"/>
            </w:pPr>
            <w:pPr>
              <w:spacing w:after="16"/>
            </w:pPr>
            <w:r>
              <w:t xml:space="preserve">4 teams, 4 trees, both sides of each tree. The data are</w:t>
            </w:r>
            <w:r>
              <w:t xml:space="preserve"> </w:t>
            </w:r>
            <w:r>
              <w:rPr>
                <w:b/>
                <w:bCs/>
              </w:rPr>
              <w:t xml:space="preserve">paired</w:t>
            </w:r>
            <w:r>
              <w:t xml:space="preserve"> </w:t>
            </w:r>
            <w:r>
              <w:t xml:space="preserve">by design.</w:t>
            </w:r>
          </w:p>
          <w:p/>
        </w:tc>
      </w:tr>
    </w:tbl>
    <w:bookmarkEnd w:id="92"/>
    <w:bookmarkStart w:id="95" w:name="running-both-rank-based-tests"/>
    <w:p>
      <w:pPr>
        <w:pStyle w:val="Heading2"/>
      </w:pPr>
      <w:r>
        <w:t xml:space="preserve">Running both rank-based tests</w:t>
      </w:r>
    </w:p>
    <w:p>
      <w:pPr>
        <w:pStyle w:val="SourceCode"/>
      </w:pPr>
      <w:r>
        <w:rPr>
          <w:rStyle w:val="CommentTok"/>
        </w:rPr>
        <w:t xml:space="preserve"># Unpaired: Mann-Whitney U  (the t-test's two-sample partner)</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p>
    <w:p>
      <w:pPr>
        <w:pStyle w:val="SourceCode"/>
      </w:pPr>
      <w:r>
        <w:br/>
      </w:r>
      <w:r>
        <w:rPr>
          <w:rStyle w:val="VerbatimChar"/>
        </w:rPr>
        <w:t xml:space="preserve">    Wilcoxon rank sum exact test</w:t>
      </w:r>
      <w:r>
        <w:br/>
      </w:r>
      <w:r>
        <w:br/>
      </w:r>
      <w:r>
        <w:rPr>
          <w:rStyle w:val="VerbatimChar"/>
        </w:rPr>
        <w:t xml:space="preserve">data:  needle_length_mm by side</w:t>
      </w:r>
      <w:r>
        <w:br/>
      </w:r>
      <w:r>
        <w:rPr>
          <w:rStyle w:val="VerbatimChar"/>
        </w:rPr>
        <w:t xml:space="preserve">W = 5, p-value = 0.4857</w:t>
      </w:r>
      <w:r>
        <w:br/>
      </w:r>
      <w:r>
        <w:rPr>
          <w:rStyle w:val="VerbatimChar"/>
        </w:rPr>
        <w:t xml:space="preserve">alternative hypothesis: true location shift is not equal to 0</w:t>
      </w:r>
    </w:p>
    <w:p>
      <w:pPr>
        <w:pStyle w:val="SourceCode"/>
      </w:pPr>
      <w:r>
        <w:rPr>
          <w:rStyle w:val="CommentTok"/>
        </w:rPr>
        <w:t xml:space="preserve"># Paired: Wilcoxon signed-rank  (the paired t-test's partner)</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Wilcoxon signed rank exact test</w:t>
      </w:r>
      <w:r>
        <w:br/>
      </w:r>
      <w:r>
        <w:br/>
      </w:r>
      <w:r>
        <w:rPr>
          <w:rStyle w:val="VerbatimChar"/>
        </w:rPr>
        <w:t xml:space="preserve">data:  p_wide_df$shady and p_wide_df$sunny</w:t>
      </w:r>
      <w:r>
        <w:br/>
      </w:r>
      <w:r>
        <w:rPr>
          <w:rStyle w:val="VerbatimChar"/>
        </w:rPr>
        <w:t xml:space="preserve">V = 0, p-value = 0.125</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r>
              <w:rPr>
                <w:b/>
                <w:bCs/>
              </w:rPr>
              <w:t xml:space="preserve"> </w:t>
            </w:r>
            <w:r>
              <w:rPr>
                <w:rStyle w:val="VerbatimChar"/>
                <w:b/>
                <w:bCs/>
              </w:rPr>
              <w:t xml:space="preserve">V = 0</w:t>
            </w:r>
          </w:p>
          <w:p>
            <w:pPr>
              <w:pStyle w:val="BodyText"/>
            </w:pPr>
            <w:r>
              <w:t xml:space="preserve">The signed-rank statistic is</w:t>
            </w:r>
            <w:r>
              <w:t xml:space="preserve"> </w:t>
            </w:r>
            <w:r>
              <w:rPr>
                <w:b/>
                <w:bCs/>
              </w:rPr>
              <w:t xml:space="preserve">zero</w:t>
            </w:r>
            <w:r>
              <w:t xml:space="preserve"> </w:t>
            </w:r>
            <w:r>
              <w:t xml:space="preserve">— meaning</w:t>
            </w:r>
            <w:r>
              <w:t xml:space="preserve"> </w:t>
            </w:r>
            <w:r>
              <w:rPr>
                <w:i/>
                <w:iCs/>
              </w:rPr>
              <w:t xml:space="preserve">every single tree</w:t>
            </w:r>
            <w:r>
              <w:t xml:space="preserve"> </w:t>
            </w:r>
            <w:r>
              <w:t xml:space="preserve">moved in the same direction. There is no arrangement of these four trees that would look more consistent.</w:t>
            </w:r>
          </w:p>
          <w:p>
            <w:pPr>
              <w:pStyle w:val="BodyText"/>
            </w:pPr>
            <w:pPr>
              <w:spacing w:after="16"/>
            </w:pPr>
            <w:r>
              <w:t xml:space="preserve">Notice too that R says</w:t>
            </w:r>
            <w:r>
              <w:t xml:space="preserve"> </w:t>
            </w:r>
            <w:r>
              <w:rPr>
                <w:b/>
                <w:bCs/>
              </w:rPr>
              <w:t xml:space="preserve">“exact test”</w:t>
            </w:r>
            <w:r>
              <w:t xml:space="preserve"> </w:t>
            </w:r>
            <w:r>
              <w:t xml:space="preserve">for both. With no tied values it enumerates every possible arrangement rather than approximating. Hold on to that word — the next slide explains why it matters.</w:t>
            </w:r>
          </w:p>
          <w:p/>
        </w:tc>
      </w:tr>
    </w:tbl>
    <w:bookmarkEnd w:id="95"/>
    <w:bookmarkStart w:id="99" w:name="same-answer-less-power"/>
    <w:p>
      <w:pPr>
        <w:pStyle w:val="Heading2"/>
      </w:pPr>
      <w:r>
        <w:t xml:space="preserve">Same answer, less power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Comparison</w:t>
            </w:r>
          </w:p>
        </w:tc>
        <w:tc>
          <w:tcPr/>
          <w:p>
            <w:pPr>
              <w:pStyle w:val="Compact"/>
            </w:pPr>
            <w:r>
              <w:t xml:space="preserve">Parametric</w:t>
            </w:r>
          </w:p>
        </w:tc>
        <w:tc>
          <w:tcPr/>
          <w:p>
            <w:pPr>
              <w:pStyle w:val="Compact"/>
            </w:pPr>
            <w:r>
              <w:t xml:space="preserve">Non-parametric</w:t>
            </w:r>
          </w:p>
        </w:tc>
      </w:tr>
      <w:tr>
        <w:tc>
          <w:tcPr/>
          <w:p>
            <w:pPr>
              <w:pStyle w:val="Compact"/>
            </w:pPr>
            <w:r>
              <w:t xml:space="preserve">Unpaired (2 groups)</w:t>
            </w:r>
          </w:p>
        </w:tc>
        <w:tc>
          <w:tcPr/>
          <w:p>
            <w:pPr>
              <w:pStyle w:val="Compact"/>
            </w:pPr>
            <w:r>
              <w:t xml:space="preserve">t-test</w:t>
            </w:r>
            <w:r>
              <w:t xml:space="preserve"> </w:t>
            </w:r>
            <w:r>
              <w:rPr>
                <w:b/>
                <w:bCs/>
              </w:rPr>
              <w:t xml:space="preserve">p = 0.425</w:t>
            </w:r>
          </w:p>
        </w:tc>
        <w:tc>
          <w:tcPr/>
          <w:p>
            <w:pPr>
              <w:pStyle w:val="Compact"/>
            </w:pPr>
            <w:r>
              <w:t xml:space="preserve">Mann-Whitney</w:t>
            </w:r>
            <w:r>
              <w:t xml:space="preserve"> </w:t>
            </w:r>
            <w:r>
              <w:rPr>
                <w:b/>
                <w:bCs/>
              </w:rPr>
              <w:t xml:space="preserve">p = 0.486</w:t>
            </w:r>
          </w:p>
        </w:tc>
      </w:tr>
      <w:tr>
        <w:tc>
          <w:tcPr/>
          <w:p>
            <w:pPr>
              <w:pStyle w:val="Compact"/>
            </w:pPr>
            <w:r>
              <w:t xml:space="preserve">Paired (4 trees)</w:t>
            </w:r>
          </w:p>
        </w:tc>
        <w:tc>
          <w:tcPr/>
          <w:p>
            <w:pPr>
              <w:pStyle w:val="Compact"/>
            </w:pPr>
            <w:r>
              <w:t xml:space="preserve">paired t</w:t>
            </w:r>
            <w:r>
              <w:t xml:space="preserve"> </w:t>
            </w:r>
            <w:r>
              <w:rPr>
                <w:b/>
                <w:bCs/>
              </w:rPr>
              <w:t xml:space="preserve">p = 0.072</w:t>
            </w:r>
          </w:p>
        </w:tc>
        <w:tc>
          <w:tcPr/>
          <w:p>
            <w:pPr>
              <w:pStyle w:val="Compact"/>
            </w:pPr>
            <w:r>
              <w:t xml:space="preserve">signed-rank</w:t>
            </w:r>
            <w:r>
              <w:t xml:space="preserve"> </w:t>
            </w:r>
            <w:r>
              <w:rPr>
                <w:b/>
                <w:bCs/>
              </w:rPr>
              <w:t xml:space="preserve">p = 0.125</w:t>
            </w:r>
          </w:p>
        </w:tc>
      </w:tr>
    </w:tbl>
    <w:p>
      <w:pPr>
        <w:pStyle w:val="BodyText"/>
      </w:pPr>
      <w:r>
        <w:rPr>
          <w:b/>
          <w:bCs/>
        </w:rPr>
        <w:t xml:space="preserve">Both methods tell the same story:</w:t>
      </w:r>
    </w:p>
    <w:p>
      <w:pPr>
        <w:pStyle w:val="Compact"/>
        <w:numPr>
          <w:ilvl w:val="0"/>
          <w:numId w:val="1020"/>
        </w:numPr>
      </w:pPr>
      <w:r>
        <w:t xml:space="preserve">the unpaired comparison finds nothing</w:t>
      </w:r>
    </w:p>
    <w:p>
      <w:pPr>
        <w:pStyle w:val="Compact"/>
        <w:numPr>
          <w:ilvl w:val="0"/>
          <w:numId w:val="1020"/>
        </w:numPr>
      </w:pPr>
      <w:r>
        <w:t xml:space="preserve">the paired comparison is far more sensitive</w:t>
      </w:r>
    </w:p>
    <w:p>
      <w:pPr>
        <w:pStyle w:val="Compact"/>
        <w:numPr>
          <w:ilvl w:val="0"/>
          <w:numId w:val="1020"/>
        </w:numPr>
      </w:pPr>
      <w:r>
        <w:t xml:space="preserve">the direction is identical — shady needles shorter</w:t>
      </w:r>
    </w:p>
    <w:p>
      <w:pPr>
        <w:pStyle w:val="FirstParagraph"/>
      </w:pPr>
      <w:r>
        <w:rPr>
          <w:b/>
          <w:bCs/>
        </w:rPr>
        <w:t xml:space="preserve">But the rank test costs you.</w:t>
      </w:r>
      <w:r>
        <w:t xml:space="preserve"> </w:t>
      </w:r>
      <w:r>
        <w:t xml:space="preserve">In both rows the non-parametric p-value is larger. That is the price of throwing away the actual measurements and keeping only their order.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important.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At n = 4, the signed-rank test hits a wall</w:t>
            </w:r>
          </w:p>
          <w:p>
            <w:pPr>
              <w:pStyle w:val="BodyText"/>
            </w:pPr>
            <w:r>
              <w:t xml:space="preserve">With 4 pairs there are only 2⁴ =</w:t>
            </w:r>
            <w:r>
              <w:t xml:space="preserve"> </w:t>
            </w:r>
            <w:r>
              <w:rPr>
                <w:b/>
                <w:bCs/>
              </w:rPr>
              <w:t xml:space="preserve">16</w:t>
            </w:r>
            <w:r>
              <w:t xml:space="preserve"> </w:t>
            </w:r>
            <w:r>
              <w:t xml:space="preserve">possible arrangements of plus and minus signs. The most extreme possible result — all four the same way, which is exactly what we got — has a two-sided p of 2/16 =</w:t>
            </w:r>
            <w:r>
              <w:t xml:space="preserve"> </w:t>
            </w:r>
            <w:r>
              <w:rPr>
                <w:b/>
                <w:bCs/>
              </w:rPr>
              <w:t xml:space="preserve">0.125</w:t>
            </w:r>
            <w:r>
              <w:t xml:space="preserve">.</w:t>
            </w:r>
          </w:p>
          <w:p>
            <w:pPr>
              <w:pStyle w:val="BodyText"/>
            </w:pPr>
            <w:r>
              <w:t xml:space="preserve">So with four trees, a Wilcoxon signed-rank test</w:t>
            </w:r>
            <w:r>
              <w:t xml:space="preserve"> </w:t>
            </w:r>
            <w:r>
              <w:rPr>
                <w:b/>
                <w:bCs/>
              </w:rPr>
              <w:t xml:space="preserve">can never return a p-value below 0.125</w:t>
            </w:r>
            <w:r>
              <w:t xml:space="preserve">, no matter how enormous the effect.</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possible two-sided p, 4 pairs</w:t>
            </w:r>
          </w:p>
          <w:p>
            <w:pPr>
              <w:pStyle w:val="SourceCode"/>
            </w:pPr>
            <w:r>
              <w:rPr>
                <w:rStyle w:val="VerbatimChar"/>
              </w:rPr>
              <w:t xml:space="preserve">[1] 0.125</w:t>
            </w:r>
          </w:p>
          <w:p>
            <w:pPr>
              <w:pStyle w:val="FirstParagraph"/>
            </w:pPr>
            <w:pPr>
              <w:spacing w:after="16"/>
            </w:pPr>
            <w:r>
              <w:t xml:space="preserve">The test did not fail to find our effect. It was</w:t>
            </w:r>
            <w:r>
              <w:t xml:space="preserve"> </w:t>
            </w:r>
            <w:r>
              <w:rPr>
                <w:b/>
                <w:bCs/>
              </w:rPr>
              <w:t xml:space="preserve">arithmetically incapable</w:t>
            </w:r>
            <w:r>
              <w:t xml:space="preserve"> </w:t>
            </w:r>
            <w:r>
              <w:t xml:space="preserve">of declaring it significant.</w:t>
            </w:r>
          </w:p>
          <w:p/>
        </w:tc>
      </w:tr>
    </w:tbl>
    <w:bookmarkEnd w:id="99"/>
    <w:bookmarkStart w:id="104" w:name="what-that-means-in-practice"/>
    <w:p>
      <w:pPr>
        <w:pStyle w:val="Heading2"/>
      </w:pPr>
      <w:r>
        <w:t xml:space="preserve">What that means in practice</w:t>
      </w:r>
    </w:p>
    <w:p>
      <w:pPr>
        <w:pStyle w:val="Compact"/>
        <w:numPr>
          <w:ilvl w:val="0"/>
          <w:numId w:val="1021"/>
        </w:numPr>
      </w:pPr>
      <w:r>
        <w:t xml:space="preserve">Non-parametric tests are the right call when normality is genuinely broken and cannot be fixed</w:t>
      </w:r>
    </w:p>
    <w:p>
      <w:pPr>
        <w:pStyle w:val="Compact"/>
        <w:numPr>
          <w:ilvl w:val="0"/>
          <w:numId w:val="1021"/>
        </w:numPr>
      </w:pPr>
      <w:r>
        <w:t xml:space="preserve">But they are</w:t>
      </w:r>
      <w:r>
        <w:t xml:space="preserve"> </w:t>
      </w:r>
      <w:r>
        <w:rPr>
          <w:b/>
          <w:bCs/>
        </w:rPr>
        <w:t xml:space="preserve">not free</w:t>
      </w:r>
      <w:r>
        <w:t xml:space="preserve">, and they are</w:t>
      </w:r>
      <w:r>
        <w:t xml:space="preserve"> </w:t>
      </w:r>
      <w:r>
        <w:rPr>
          <w:b/>
          <w:bCs/>
        </w:rPr>
        <w:t xml:space="preserve">not a safe default</w:t>
      </w:r>
    </w:p>
    <w:p>
      <w:pPr>
        <w:pStyle w:val="Compact"/>
        <w:numPr>
          <w:ilvl w:val="0"/>
          <w:numId w:val="1021"/>
        </w:numPr>
      </w:pPr>
      <w:r>
        <w:t xml:space="preserve">At small n they can be so blunt that no result could ever reach significance — check the floor</w:t>
      </w:r>
      <w:r>
        <w:t xml:space="preserve"> </w:t>
      </w:r>
      <w:r>
        <w:rPr>
          <w:b/>
          <w:bCs/>
        </w:rPr>
        <w:t xml:space="preserve">before</w:t>
      </w:r>
      <w:r>
        <w:t xml:space="preserve"> </w:t>
      </w:r>
      <w:r>
        <w:t xml:space="preserve">you run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Positron.app/Contents/Resources/app/quarto/share/formats/docx/note.png" id="10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Choose the test that matches your data’s distribution, not the one that feels safest. For our four trees, the</w:t>
            </w:r>
            <w:r>
              <w:t xml:space="preserve"> </w:t>
            </w:r>
            <w:r>
              <w:rPr>
                <w:i/>
                <w:iCs/>
              </w:rPr>
              <w:t xml:space="preserve">parametric</w:t>
            </w:r>
            <w:r>
              <w:t xml:space="preserve"> </w:t>
            </w:r>
            <w:r>
              <w:t xml:space="preserve">paired t-test — whose assumptions we checked and could not reject — is the more honest and more informative choice.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How many pairs would you need before a signed-rank test could reach p &lt; 0.05?</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CommentTok"/>
              </w:rPr>
              <w:t xml:space="preserve"># 5 pairs</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6</w:t>
            </w:r>
            <w:r>
              <w:rPr>
                <w:rStyle w:val="NormalTok"/>
              </w:rPr>
              <w:t xml:space="preserve">    </w:t>
            </w:r>
            <w:r>
              <w:rPr>
                <w:rStyle w:val="CommentTok"/>
              </w:rPr>
              <w:t xml:space="preserve"># 6 pairs</w:t>
            </w:r>
          </w:p>
          <w:p/>
        </w:tc>
      </w:tr>
    </w:tbl>
    <w:bookmarkEnd w:id="104"/>
    <w:bookmarkStart w:id="105" w:name="part-6-permutation-tests"/>
    <w:p>
      <w:pPr>
        <w:pStyle w:val="Heading2"/>
      </w:pPr>
      <w:r>
        <w:t xml:space="preserve">Part 6 · Permutation Tests</w:t>
      </w:r>
    </w:p>
    <w:bookmarkEnd w:id="105"/>
    <w:bookmarkStart w:id="109" w:name="permutation-tests-concept"/>
    <w:p>
      <w:pPr>
        <w:pStyle w:val="Heading2"/>
      </w:pPr>
      <w:r>
        <w:t xml:space="preserve">Permutation Tests — Concept</w:t>
      </w:r>
    </w:p>
    <w:p>
      <w:pPr>
        <w:pStyle w:val="Compact"/>
        <w:numPr>
          <w:ilvl w:val="0"/>
          <w:numId w:val="1022"/>
        </w:numPr>
      </w:pPr>
      <w:r>
        <w:t xml:space="preserve">Permutation tests are based on resampling: reshuffling the original data</w:t>
      </w:r>
    </w:p>
    <w:p>
      <w:pPr>
        <w:pStyle w:val="Compact"/>
        <w:numPr>
          <w:ilvl w:val="0"/>
          <w:numId w:val="1022"/>
        </w:numPr>
      </w:pPr>
      <w:r>
        <w:t xml:space="preserve">Resampling allows parameter estimation when the distribution is unknown, including SEs and CIs of statistics (means, medians)</w:t>
      </w:r>
    </w:p>
    <w:p>
      <w:pPr>
        <w:pStyle w:val="Compact"/>
        <w:numPr>
          <w:ilvl w:val="0"/>
          <w:numId w:val="1022"/>
        </w:numPr>
      </w:pPr>
      <w:r>
        <w:t xml:space="preserve">A common approach is the bootstrap: resample with replacement many times, recalculate sample stats</w:t>
      </w:r>
    </w:p>
    <w:p>
      <w:pPr>
        <w:pStyle w:val="Compact"/>
        <w:numPr>
          <w:ilvl w:val="0"/>
          <w:numId w:val="1022"/>
        </w:numPr>
      </w:pPr>
      <w:r>
        <w:t xml:space="preserve">We use the</w:t>
      </w:r>
      <w:r>
        <w:t xml:space="preserve"> </w:t>
      </w:r>
      <w:r>
        <w:rPr>
          <w:rStyle w:val="VerbatimChar"/>
        </w:rPr>
        <w:t xml:space="preserve">perm</w:t>
      </w:r>
      <w:r>
        <w:t xml:space="preserve"> </w:t>
      </w:r>
      <w:r>
        <w:t xml:space="preserve">package</w:t>
      </w:r>
    </w:p>
    <w:p>
      <w:pPr>
        <w:pStyle w:val="Compact"/>
        <w:numPr>
          <w:ilvl w:val="0"/>
          <w:numId w:val="1022"/>
        </w:numPr>
      </w:pPr>
      <w:r>
        <w:t xml:space="preserve">H₀: µ_A = µ_B, Hₐ: µ_A ≠ µ_B</w:t>
      </w:r>
    </w:p>
    <w:p>
      <w:pPr>
        <w:pStyle w:val="Compact"/>
        <w:numPr>
          <w:ilvl w:val="0"/>
          <w:numId w:val="1022"/>
        </w:numPr>
      </w:pPr>
      <w:r>
        <w:t xml:space="preserve">Calculates the difference Δ in means between two groups</w:t>
      </w:r>
    </w:p>
    <w:p>
      <w:pPr>
        <w:pStyle w:val="FirstParagraph"/>
      </w:pPr>
      <w:r>
        <w:drawing>
          <wp:inline>
            <wp:extent cx="2935866" cy="2568882"/>
            <wp:effectExtent b="0" l="0" r="0" t="0"/>
            <wp:docPr descr="" title="" id="107" name="Picture"/>
            <a:graphic>
              <a:graphicData uri="http://schemas.openxmlformats.org/drawingml/2006/picture">
                <pic:pic>
                  <pic:nvPicPr>
                    <pic:cNvPr descr="nonparametric_t_tests_lecture_files/figure-docx/nonparametric-t-tests-17-1.png" id="108" name="Picture"/>
                    <pic:cNvPicPr>
                      <a:picLocks noChangeArrowheads="1" noChangeAspect="1"/>
                    </pic:cNvPicPr>
                  </pic:nvPicPr>
                  <pic:blipFill>
                    <a:blip r:embed="rId106"/>
                    <a:stretch>
                      <a:fillRect/>
                    </a:stretch>
                  </pic:blipFill>
                  <pic:spPr bwMode="auto">
                    <a:xfrm>
                      <a:off x="0" y="0"/>
                      <a:ext cx="2935866" cy="2568882"/>
                    </a:xfrm>
                    <a:prstGeom prst="rect">
                      <a:avLst/>
                    </a:prstGeom>
                    <a:noFill/>
                    <a:ln w="9525">
                      <a:noFill/>
                      <a:headEnd/>
                      <a:tailEnd/>
                    </a:ln>
                  </pic:spPr>
                </pic:pic>
              </a:graphicData>
            </a:graphic>
          </wp:inline>
        </w:drawing>
      </w:r>
    </w:p>
    <w:bookmarkEnd w:id="109"/>
    <w:bookmarkStart w:id="113" w:name="permutation-tests-method"/>
    <w:p>
      <w:pPr>
        <w:pStyle w:val="Heading2"/>
      </w:pPr>
      <w:r>
        <w:t xml:space="preserve">Permutation Tests — Method</w:t>
      </w:r>
    </w:p>
    <w:p>
      <w:pPr>
        <w:pStyle w:val="Compact"/>
        <w:numPr>
          <w:ilvl w:val="0"/>
          <w:numId w:val="1023"/>
        </w:numPr>
      </w:pPr>
      <w:r>
        <w:t xml:space="preserve">Randomly reshuffle observations between groups (keeping n₍NE 12₎ = 323 and n₍Island₎ = 10), calculate Δ</w:t>
      </w:r>
    </w:p>
    <w:p>
      <w:pPr>
        <w:pStyle w:val="Compact"/>
        <w:numPr>
          <w:ilvl w:val="0"/>
          <w:numId w:val="1023"/>
        </w:numPr>
      </w:pPr>
      <w:r>
        <w:t xml:space="preserve">Repeat &gt; 1,000 times</w:t>
      </w:r>
    </w:p>
    <w:p>
      <w:pPr>
        <w:pStyle w:val="Compact"/>
        <w:numPr>
          <w:ilvl w:val="0"/>
          <w:numId w:val="1023"/>
        </w:numPr>
      </w:pPr>
      <w:r>
        <w:t xml:space="preserve">Record the proportion of the differences in means as extreme as (or more extreme than) observed</w:t>
      </w:r>
    </w:p>
    <w:p>
      <w:pPr>
        <w:pStyle w:val="Compact"/>
        <w:numPr>
          <w:ilvl w:val="0"/>
          <w:numId w:val="1023"/>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tip.png" id="11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112">
              <w:r>
                <w:rPr>
                  <w:rStyle w:val="Hyperlink"/>
                </w:rPr>
                <w:t xml:space="preserve">jwilber.me/permutationtest</w:t>
              </w:r>
            </w:hyperlink>
          </w:p>
          <w:p/>
        </w:tc>
      </w:tr>
    </w:tbl>
    <w:bookmarkEnd w:id="113"/>
    <w:bookmarkStart w:id="114"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CommentTok"/>
        </w:rPr>
        <w:t xml:space="preserve"># Balance the design: take 25 NE 12 fish, keep all of Island Lake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perm_df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r>
        <w:br/>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The difference the test is about</w:t>
      </w:r>
      <w:r>
        <w:br/>
      </w:r>
      <w:r>
        <w:rPr>
          <w:rStyle w:val="NormalTok"/>
        </w:rPr>
        <w:t xml:space="preserve">perm_df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mean_mm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 tibble: 2 × 3</w:t>
      </w:r>
      <w:r>
        <w:br/>
      </w:r>
      <w:r>
        <w:rPr>
          <w:rStyle w:val="VerbatimChar"/>
        </w:rPr>
        <w:t xml:space="preserve">  lake            n mean_mm</w:t>
      </w:r>
      <w:r>
        <w:br/>
      </w:r>
      <w:r>
        <w:rPr>
          <w:rStyle w:val="VerbatimChar"/>
        </w:rPr>
        <w:t xml:space="preserve">  &lt;chr&gt;       &lt;int&gt;   &lt;dbl&gt;</w:t>
      </w:r>
      <w:r>
        <w:br/>
      </w:r>
      <w:r>
        <w:rPr>
          <w:rStyle w:val="VerbatimChar"/>
        </w:rPr>
        <w:t xml:space="preserve">1 Island Lake    10    698.</w:t>
      </w:r>
      <w:r>
        <w:br/>
      </w:r>
      <w:r>
        <w:rPr>
          <w:rStyle w:val="VerbatimChar"/>
        </w:rPr>
        <w:t xml:space="preserve">2 NE 12          25    365.</w:t>
      </w:r>
    </w:p>
    <w:p>
      <w:pPr>
        <w:pStyle w:val="SourceCode"/>
      </w:pPr>
      <w:r>
        <w:rPr>
          <w:rStyle w:val="FunctionTok"/>
        </w:rPr>
        <w:t xml:space="preserve">permTS</w:t>
      </w:r>
      <w:r>
        <w:rPr>
          <w:rStyle w:val="NormalTok"/>
        </w:rPr>
        <w:t xml:space="preserve">(length_mm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perm_df,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length_mm by lake</w:t>
      </w:r>
      <w:r>
        <w:br/>
      </w:r>
      <w:r>
        <w:rPr>
          <w:rStyle w:val="VerbatimChar"/>
        </w:rPr>
        <w:t xml:space="preserve">p-value = 2e-04</w:t>
      </w:r>
      <w:r>
        <w:br/>
      </w:r>
      <w:r>
        <w:rPr>
          <w:rStyle w:val="VerbatimChar"/>
        </w:rPr>
        <w:t xml:space="preserve">alternative hypothesis: true mean lake=Island Lake - mean lake=NE 12 is not equal to 0</w:t>
      </w:r>
      <w:r>
        <w:br/>
      </w:r>
      <w:r>
        <w:rPr>
          <w:rStyle w:val="VerbatimChar"/>
        </w:rPr>
        <w:t xml:space="preserve">sample estimates:</w:t>
      </w:r>
      <w:r>
        <w:br/>
      </w:r>
      <w:r>
        <w:rPr>
          <w:rStyle w:val="VerbatimChar"/>
        </w:rPr>
        <w:t xml:space="preserve">mean lake=Island Lake - mean lake=NE 12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114"/>
    <w:bookmarkStart w:id="115" w:name="part-7-summary"/>
    <w:p>
      <w:pPr>
        <w:pStyle w:val="Heading2"/>
      </w:pPr>
      <w:r>
        <w:t xml:space="preserve">Part 7 · Summary</w:t>
      </w:r>
    </w:p>
    <w:bookmarkEnd w:id="115"/>
    <w:bookmarkStart w:id="118"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4"/>
        </w:numPr>
      </w:pPr>
      <w:r>
        <w:rPr>
          <w:b/>
          <w:bCs/>
        </w:rPr>
        <w:t xml:space="preserve">Random sampling</w:t>
      </w:r>
      <w:r>
        <w:t xml:space="preserve"> </w:t>
      </w:r>
      <w:r>
        <w:t xml:space="preserve">— samples are randomly collected from populations</w:t>
      </w:r>
    </w:p>
    <w:p>
      <w:pPr>
        <w:pStyle w:val="Compact"/>
        <w:numPr>
          <w:ilvl w:val="0"/>
          <w:numId w:val="1024"/>
        </w:numPr>
      </w:pPr>
      <w:r>
        <w:rPr>
          <w:b/>
          <w:bCs/>
        </w:rPr>
        <w:t xml:space="preserve">Normality</w:t>
      </w:r>
      <w:r>
        <w:t xml:space="preserve"> </w:t>
      </w:r>
      <w:r>
        <w:t xml:space="preserve">— data follows a normal distribution</w:t>
      </w:r>
    </w:p>
    <w:p>
      <w:pPr>
        <w:pStyle w:val="Compact"/>
        <w:numPr>
          <w:ilvl w:val="0"/>
          <w:numId w:val="1024"/>
        </w:numPr>
      </w:pPr>
      <w:r>
        <w:rPr>
          <w:b/>
          <w:bCs/>
        </w:rPr>
        <w:t xml:space="preserve">Equal variance</w:t>
      </w:r>
      <w:r>
        <w:t xml:space="preserve"> </w:t>
      </w:r>
      <w:r>
        <w:t xml:space="preserve">— samples come from populations with similar variability</w:t>
      </w:r>
    </w:p>
    <w:p>
      <w:pPr>
        <w:pStyle w:val="Compact"/>
        <w:numPr>
          <w:ilvl w:val="0"/>
          <w:numId w:val="1024"/>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note.png" id="1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5"/>
              </w:numPr>
            </w:pPr>
            <w:r>
              <w:t xml:space="preserve">Key to do</w:t>
            </w:r>
            <w:r>
              <w:t xml:space="preserve"> </w:t>
            </w:r>
            <w:r>
              <w:rPr>
                <w:i/>
                <w:iCs/>
              </w:rPr>
              <w:t xml:space="preserve">every time</w:t>
            </w:r>
          </w:p>
          <w:p>
            <w:pPr>
              <w:pStyle w:val="Compact"/>
              <w:numPr>
                <w:ilvl w:val="0"/>
                <w:numId w:val="1025"/>
              </w:numPr>
            </w:pPr>
            <w:r>
              <w:t xml:space="preserve">Should be acknowledged in the manuscript</w:t>
            </w:r>
          </w:p>
          <w:p/>
        </w:tc>
      </w:tr>
    </w:tbl>
    <w:bookmarkEnd w:id="118"/>
    <w:bookmarkStart w:id="121"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6"/>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6"/>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6"/>
        </w:numPr>
      </w:pPr>
      <w:r>
        <w:rPr>
          <w:b/>
          <w:bCs/>
        </w:rPr>
        <w:t xml:space="preserve">Box-Cox:</w:t>
      </w:r>
      <w:r>
        <w:t xml:space="preserve"> </w:t>
      </w:r>
      <w:r>
        <w:t xml:space="preserve">a more flexible family of power transformations</w:t>
      </w:r>
    </w:p>
    <w:p>
      <w:pPr>
        <w:pStyle w:val="Compact"/>
        <w:numPr>
          <w:ilvl w:val="0"/>
          <w:numId w:val="1026"/>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tip.png" id="12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21"/>
    <w:bookmarkStart w:id="122"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7"/>
        </w:numPr>
      </w:pPr>
      <w:r>
        <w:t xml:space="preserve">High statistical power when assumptions are met</w:t>
      </w:r>
    </w:p>
    <w:p>
      <w:pPr>
        <w:pStyle w:val="Compact"/>
        <w:numPr>
          <w:ilvl w:val="0"/>
          <w:numId w:val="1027"/>
        </w:numPr>
      </w:pPr>
      <w:r>
        <w:t xml:space="preserve">Well understood and widely accepted</w:t>
      </w:r>
    </w:p>
    <w:p>
      <w:pPr>
        <w:pStyle w:val="FirstParagraph"/>
      </w:pPr>
      <w:r>
        <w:t xml:space="preserve">Weaknesses:</w:t>
      </w:r>
    </w:p>
    <w:p>
      <w:pPr>
        <w:pStyle w:val="Compact"/>
        <w:numPr>
          <w:ilvl w:val="0"/>
          <w:numId w:val="1028"/>
        </w:numPr>
      </w:pPr>
      <w:r>
        <w:t xml:space="preserve">Sensitive to violations of normality, equal variance</w:t>
      </w:r>
    </w:p>
    <w:p>
      <w:pPr>
        <w:pStyle w:val="Compact"/>
        <w:numPr>
          <w:ilvl w:val="0"/>
          <w:numId w:val="1028"/>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9"/>
        </w:numPr>
      </w:pPr>
      <w:r>
        <w:t xml:space="preserve">Robust to violations of the equal-variance assumption</w:t>
      </w:r>
    </w:p>
    <w:p>
      <w:pPr>
        <w:pStyle w:val="Compact"/>
        <w:numPr>
          <w:ilvl w:val="0"/>
          <w:numId w:val="1029"/>
        </w:numPr>
      </w:pPr>
      <w:r>
        <w:t xml:space="preserve">Handles unequal sample sizes well</w:t>
      </w:r>
    </w:p>
    <w:p>
      <w:pPr>
        <w:pStyle w:val="Compact"/>
        <w:numPr>
          <w:ilvl w:val="0"/>
          <w:numId w:val="1029"/>
        </w:numPr>
      </w:pPr>
      <w:r>
        <w:t xml:space="preserve">Still parametric (assumes normality)</w:t>
      </w:r>
    </w:p>
    <w:p>
      <w:pPr>
        <w:pStyle w:val="FirstParagraph"/>
      </w:pPr>
      <w:r>
        <w:t xml:space="preserve">Weaknesses:</w:t>
      </w:r>
    </w:p>
    <w:p>
      <w:pPr>
        <w:pStyle w:val="Compact"/>
        <w:numPr>
          <w:ilvl w:val="0"/>
          <w:numId w:val="1030"/>
        </w:numPr>
      </w:pPr>
      <w:r>
        <w:t xml:space="preserve">Slightly less powerful than the standard t-test when variances are equal</w:t>
      </w:r>
    </w:p>
    <w:p>
      <w:pPr>
        <w:pStyle w:val="Compact"/>
        <w:numPr>
          <w:ilvl w:val="0"/>
          <w:numId w:val="1030"/>
        </w:numPr>
      </w:pPr>
      <w:r>
        <w:t xml:space="preserve">Still assumes a normal distribution</w:t>
      </w:r>
    </w:p>
    <w:bookmarkEnd w:id="122"/>
    <w:bookmarkStart w:id="123"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31"/>
        </w:numPr>
      </w:pPr>
      <w:r>
        <w:t xml:space="preserve">Non-parametric: doesn’t assume normal distribution</w:t>
      </w:r>
    </w:p>
    <w:p>
      <w:pPr>
        <w:pStyle w:val="Compact"/>
        <w:numPr>
          <w:ilvl w:val="0"/>
          <w:numId w:val="1031"/>
        </w:numPr>
      </w:pPr>
      <w:r>
        <w:t xml:space="preserve">Robust against outliers</w:t>
      </w:r>
    </w:p>
    <w:p>
      <w:pPr>
        <w:pStyle w:val="Compact"/>
        <w:numPr>
          <w:ilvl w:val="0"/>
          <w:numId w:val="1031"/>
        </w:numPr>
      </w:pPr>
      <w:r>
        <w:t xml:space="preserve">Works with ordinal data</w:t>
      </w:r>
    </w:p>
    <w:p>
      <w:pPr>
        <w:pStyle w:val="FirstParagraph"/>
      </w:pPr>
      <w:r>
        <w:t xml:space="preserve">Weaknesses:</w:t>
      </w:r>
    </w:p>
    <w:p>
      <w:pPr>
        <w:pStyle w:val="Compact"/>
        <w:numPr>
          <w:ilvl w:val="0"/>
          <w:numId w:val="1032"/>
        </w:numPr>
      </w:pPr>
      <w:r>
        <w:t xml:space="preserve">Less statistical power than parametric tests</w:t>
      </w:r>
    </w:p>
    <w:p>
      <w:pPr>
        <w:pStyle w:val="Compact"/>
        <w:numPr>
          <w:ilvl w:val="0"/>
          <w:numId w:val="1032"/>
        </w:numPr>
      </w:pPr>
      <w:r>
        <w:t xml:space="preserve">Still assumes similar distributions and approximately equal variance</w:t>
      </w:r>
    </w:p>
    <w:p>
      <w:pPr>
        <w:pStyle w:val="Compact"/>
        <w:numPr>
          <w:ilvl w:val="0"/>
          <w:numId w:val="1032"/>
        </w:numPr>
      </w:pPr>
      <w:r>
        <w:t xml:space="preserve">Tests median differences rather than mean differences</w:t>
      </w:r>
    </w:p>
    <w:p>
      <w:pPr>
        <w:pStyle w:val="Compact"/>
        <w:numPr>
          <w:ilvl w:val="0"/>
          <w:numId w:val="1032"/>
        </w:numPr>
      </w:pPr>
      <w:r>
        <w:rPr>
          <w:b/>
          <w:bCs/>
        </w:rPr>
        <w:t xml:space="preserve">At small n there is a hard floor on the p-value</w:t>
      </w:r>
      <w:r>
        <w:t xml:space="preserve"> </w:t>
      </w:r>
      <w:r>
        <w:t xml:space="preserve">— with 4 pairs a signed-rank test cannot go below 0.125 (see Part 5b)</w:t>
      </w:r>
    </w:p>
    <w:p>
      <w:pPr>
        <w:pStyle w:val="FirstParagraph"/>
      </w:pPr>
      <w:r>
        <w:rPr>
          <w:b/>
          <w:bCs/>
        </w:rPr>
        <w:t xml:space="preserve">4. Permutation tests</w:t>
      </w:r>
    </w:p>
    <w:p>
      <w:pPr>
        <w:pStyle w:val="BodyText"/>
      </w:pPr>
      <w:r>
        <w:t xml:space="preserve">Strengths:</w:t>
      </w:r>
    </w:p>
    <w:p>
      <w:pPr>
        <w:pStyle w:val="Compact"/>
        <w:numPr>
          <w:ilvl w:val="0"/>
          <w:numId w:val="1033"/>
        </w:numPr>
      </w:pPr>
      <w:r>
        <w:t xml:space="preserve">Distribution-free: doesn’t assume a specific distribution</w:t>
      </w:r>
    </w:p>
    <w:p>
      <w:pPr>
        <w:pStyle w:val="Compact"/>
        <w:numPr>
          <w:ilvl w:val="0"/>
          <w:numId w:val="1033"/>
        </w:numPr>
      </w:pPr>
      <w:r>
        <w:t xml:space="preserve">Can be applied to many types of test statistics</w:t>
      </w:r>
    </w:p>
    <w:p>
      <w:pPr>
        <w:pStyle w:val="Compact"/>
        <w:numPr>
          <w:ilvl w:val="0"/>
          <w:numId w:val="1033"/>
        </w:numPr>
      </w:pPr>
      <w:r>
        <w:t xml:space="preserve">Valid at small n — the p-value is exact, not an approximation</w:t>
      </w:r>
    </w:p>
    <w:p>
      <w:pPr>
        <w:pStyle w:val="Compact"/>
        <w:numPr>
          <w:ilvl w:val="0"/>
          <w:numId w:val="1033"/>
        </w:numPr>
      </w:pPr>
      <w:r>
        <w:t xml:space="preserve">Directly estimates p-values through resampling</w:t>
      </w:r>
    </w:p>
    <w:p>
      <w:pPr>
        <w:pStyle w:val="FirstParagraph"/>
      </w:pPr>
      <w:r>
        <w:t xml:space="preserve">Weaknesses:</w:t>
      </w:r>
    </w:p>
    <w:p>
      <w:pPr>
        <w:pStyle w:val="Compact"/>
        <w:numPr>
          <w:ilvl w:val="0"/>
          <w:numId w:val="1034"/>
        </w:numPr>
      </w:pPr>
      <w:r>
        <w:t xml:space="preserve">Computationally intensive</w:t>
      </w:r>
    </w:p>
    <w:p>
      <w:pPr>
        <w:pStyle w:val="Compact"/>
        <w:numPr>
          <w:ilvl w:val="0"/>
          <w:numId w:val="1034"/>
        </w:numPr>
      </w:pPr>
      <w:r>
        <w:t xml:space="preserve">Assumes exchangeability under the null hypothesis</w:t>
      </w:r>
    </w:p>
    <w:p>
      <w:pPr>
        <w:pStyle w:val="Compact"/>
        <w:numPr>
          <w:ilvl w:val="0"/>
          <w:numId w:val="1034"/>
        </w:numPr>
      </w:pPr>
      <w:r>
        <w:t xml:space="preserve">Requires similar distributions and equal variance</w:t>
      </w:r>
    </w:p>
    <w:p>
      <w:pPr>
        <w:pStyle w:val="Compact"/>
        <w:numPr>
          <w:ilvl w:val="0"/>
          <w:numId w:val="1034"/>
        </w:numPr>
      </w:pPr>
      <w:r>
        <w:rPr>
          <w:b/>
          <w:bCs/>
        </w:rPr>
        <w:t xml:space="preserve">Hits the same small-n floor as the rank tests</w:t>
      </w:r>
      <w:r>
        <w:t xml:space="preserve"> </w:t>
      </w:r>
      <w:r>
        <w:t xml:space="preserve">— being exact is not the same as being powerful, because there are only so many ways to rearrange 8 numbers</w:t>
      </w:r>
    </w:p>
    <w:bookmarkEnd w:id="123"/>
    <w:bookmarkStart w:id="126"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106" Target="media/rId106.png" /><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2026-09-16T01:35:10Z</dcterms:created>
  <dcterms:modified xsi:type="dcterms:W3CDTF">2026-09-16T01:35:10Z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7</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