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bookmarkStart w:id="14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 did you run</w:t>
      </w:r>
      <w:r>
        <w:t xml:space="preserve"> </w:t>
      </w:r>
      <w:r>
        <w:rPr>
          <w:rStyle w:val="VerbatimChar"/>
        </w:rPr>
        <w:t xml:space="preserve">options(contrasts = c("contr.sum", "contr.poly"))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fitting the model you pass to</w:t>
      </w:r>
      <w:r>
        <w:t xml:space="preserve"> </w:t>
      </w:r>
      <w:r>
        <w:rPr>
          <w:rStyle w:val="VerbatimChar"/>
        </w:rPr>
        <w:t xml:space="preserve">Anova(type = "III")</w:t>
      </w:r>
      <w:r>
        <w:t xml:space="preserve">? Are both predictors</w:t>
      </w:r>
      <w:r>
        <w:t xml:space="preserve"> </w:t>
      </w:r>
      <w:r>
        <w:rPr>
          <w:b/>
          <w:bCs/>
        </w:rPr>
        <w:t xml:space="preserve">factors</w:t>
      </w:r>
      <w:r>
        <w:t xml:space="preserve">? Is it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(capital A, Type II/III)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(lower case, Type I)?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2026-09-16T01:36:28Z</dcterms:created>
  <dcterms:modified xsi:type="dcterms:W3CDTF">2026-09-16T01:36:28Z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