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One-Way ANOVA</w:t>
      </w:r>
    </w:p>
    <w:p>
      <w:pPr>
        <w:pStyle w:val="Subtitle"/>
      </w:pPr>
      <w:r>
        <w:t xml:space="preserve">One-way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One-Way ANOVA</dc:title>
  <dc:creator>Bill Perry</dc:creator>
  <dc:description>One-way analysis of variance.</dc:description>
  <cp:keywords/>
  <dcterms:created xsi:type="dcterms:W3CDTF">2026-09-14T16:10:07Z</dcterms:created>
  <dcterms:modified xsi:type="dcterms:W3CDTF">2026-09-14T16:10:07Z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12</vt:lpwstr>
  </property>
  <property fmtid="{D5CDD505-2E9C-101B-9397-08002B2CF9AE}" pid="12" name="subtitle">
    <vt:lpwstr>One-way ANOVA</vt:lpwstr>
  </property>
  <property fmtid="{D5CDD505-2E9C-101B-9397-08002B2CF9AE}" pid="13" name="toc-title">
    <vt:lpwstr>Table of contents</vt:lpwstr>
  </property>
  <property fmtid="{D5CDD505-2E9C-101B-9397-08002B2CF9AE}" pid="14" name="week">
    <vt:lpwstr>7</vt:lpwstr>
  </property>
</Properties>
</file>