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spreads probability across the possible outcomes — but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depends on the data: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Discrete</w:t>
      </w:r>
      <w:r>
        <w:t xml:space="preserve"> </w:t>
      </w:r>
      <w:r>
        <w:t xml:space="preserve">(a die): each outcome has its own probability, P(4) = 1/6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</w:t>
      </w:r>
      <w:r>
        <w:t xml:space="preserve"> </w:t>
      </w:r>
      <w:r>
        <w:t xml:space="preserve">(fish length): any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value has probability</w:t>
      </w:r>
      <w:r>
        <w:t xml:space="preserve"> </w:t>
      </w:r>
      <w:r>
        <w:rPr>
          <w:b/>
          <w:bCs/>
        </w:rPr>
        <w:t xml:space="preserve">zero</w:t>
      </w:r>
      <w:r>
        <w:t xml:space="preserve">. Probability lives in</w:t>
      </w:r>
      <w:r>
        <w:t xml:space="preserve"> </w:t>
      </w:r>
      <w:r>
        <w:rPr>
          <w:b/>
          <w:bCs/>
        </w:rPr>
        <w:t xml:space="preserve">ranges</w:t>
      </w:r>
      <w:r>
        <w:t xml:space="preserve">, as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under the curve</w:t>
      </w:r>
    </w:p>
    <w:p>
      <w:pPr>
        <w:pStyle w:val="FirstParagraph"/>
      </w:pPr>
      <w:r>
        <w:t xml:space="preserve">The curve’s height is a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— probability</w:t>
      </w:r>
      <w:r>
        <w:t xml:space="preserve"> </w:t>
      </w:r>
      <w:r>
        <w:rPr>
          <w:i/>
          <w:iCs/>
        </w:rPr>
        <w:t xml:space="preserve">per mm</w:t>
      </w:r>
      <w:r>
        <w:t xml:space="preserve">, not a probability.</w:t>
      </w:r>
      <w:r>
        <w:t xml:space="preserve"> </w:t>
      </w:r>
      <w:r>
        <w:rPr>
          <w:b/>
          <w:bCs/>
        </w:rPr>
        <w:t xml:space="preserve">Density × width ≈ probability.</w:t>
      </w:r>
    </w:p>
    <w:p>
      <w:pPr>
        <w:pStyle w:val="BlockText"/>
      </w:pPr>
      <w:r>
        <w:t xml:space="preserve">Density is a</w:t>
      </w:r>
      <w:r>
        <w:t xml:space="preserve"> </w:t>
      </w:r>
      <w:r>
        <w:rPr>
          <w:b/>
          <w:bCs/>
        </w:rPr>
        <w:t xml:space="preserve">rate</w:t>
      </w:r>
      <w:r>
        <w:t xml:space="preserve">, so it is not capped at 1:</w:t>
      </w:r>
      <w:r>
        <w:t xml:space="preserve"> </w:t>
      </w:r>
      <w:r>
        <w:rPr>
          <w:rStyle w:val="VerbatimChar"/>
        </w:rPr>
        <w:t xml:space="preserve">dnorm(0, sd = 0.1)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3.989</w:t>
      </w:r>
      <w:r>
        <w:t xml:space="preserve">. Nothing is 399% likely — proof that height ≠ probability.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is the density we lean on: symmetric, fixed by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(where it sits) and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(how wide), total area 1.</w:t>
      </w:r>
    </w:p>
    <w:p>
      <w:pPr>
        <w:pStyle w:val="BodyText"/>
      </w:pPr>
      <w:r>
        <w:t xml:space="preserve">Lake I3: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curve. Every dataset has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</w:t>
      </w:r>
      <w:r>
        <w:t xml:space="preserve">: millimetres, centred near 266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Bottom</w:t>
      </w:r>
      <w:r>
        <w:t xml:space="preserve">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bars, same skew — only the ruler changed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5029200" cy="525090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50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5029200" cy="483355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33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5029200" cy="4822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5688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2026-10-05T16:39:13Z</dcterms:created>
  <dcterms:modified xsi:type="dcterms:W3CDTF">2026-10-05T16:39:13Z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