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Activity: Study Design &amp; Sampling</w:t>
      </w:r>
    </w:p>
    <w:p>
      <w:pPr>
        <w:pStyle w:val="Subtitle"/>
      </w:pPr>
      <w:r>
        <w:t xml:space="preserve">Design and sampling</w:t>
      </w:r>
    </w:p>
    <w:p>
      <w:pPr>
        <w:pStyle w:val="Author"/>
      </w:pPr>
      <w:r>
        <w:t xml:space="preserve">Bill Perry</w:t>
      </w:r>
    </w:p>
    <w:bookmarkStart w:id="12" w:name="worksheet-reading-a-design"/>
    <w:p>
      <w:pPr>
        <w:pStyle w:val="Heading1"/>
      </w:pPr>
      <w:r>
        <w:t xml:space="preserve">Worksheet: Reading a Design</w:t>
      </w:r>
    </w:p>
    <w:p>
      <w:pPr>
        <w:pStyle w:val="FirstParagraph"/>
      </w:pPr>
      <w:hyperlink r:id="rId9">
        <w:r>
          <w:rPr>
            <w:rStyle w:val="Hyperlink"/>
          </w:rPr>
          <w:t xml:space="preserve">📥 Knees data</w:t>
        </w:r>
      </w:hyperlink>
      <w:r>
        <w:t xml:space="preserve"> </w:t>
      </w:r>
      <w:hyperlink r:id="rId10">
        <w:r>
          <w:rPr>
            <w:rStyle w:val="Hyperlink"/>
          </w:rPr>
          <w:t xml:space="preserve">📥 Tools script (.R)</w:t>
        </w:r>
      </w:hyperlink>
      <w:r>
        <w:t xml:space="preserve"> </w:t>
      </w:r>
      <w:hyperlink r:id="rId11">
        <w:r>
          <w:rPr>
            <w:rStyle w:val="Hyperlink"/>
          </w:rPr>
          <w:t xml:space="preserve">📥 Script skeleton (.R)</w:t>
        </w:r>
      </w:hyperlink>
    </w:p>
    <w:p>
      <w:pPr>
        <w:pStyle w:val="BodyText"/>
      </w:pPr>
      <w:r>
        <w:rPr>
          <w:b/>
          <w:bCs/>
        </w:rPr>
        <w:t xml:space="preserve">The study.</w:t>
      </w:r>
      <w:r>
        <w:t xml:space="preserve"> </w:t>
      </w:r>
      <w:r>
        <w:t xml:space="preserve">Wright &amp; Czeisler (2002) asked whether bright light shone on the</w:t>
      </w:r>
      <w:r>
        <w:t xml:space="preserve"> </w:t>
      </w:r>
      <w:r>
        <w:rPr>
          <w:b/>
          <w:bCs/>
        </w:rPr>
        <w:t xml:space="preserve">back of the knee</w:t>
      </w:r>
      <w:r>
        <w:t xml:space="preserve"> </w:t>
      </w:r>
      <w:r>
        <w:t xml:space="preserve">could reset a person’s circadian clock, the way light in the</w:t>
      </w:r>
      <w:r>
        <w:t xml:space="preserve"> </w:t>
      </w:r>
      <w:r>
        <w:rPr>
          <w:b/>
          <w:bCs/>
        </w:rPr>
        <w:t xml:space="preserve">eyes</w:t>
      </w:r>
      <w:r>
        <w:t xml:space="preserve"> </w:t>
      </w:r>
      <w:r>
        <w:t xml:space="preserve">does. Each volunteer was randomly assigned to one of three treatments and their circadian rhythm shift was measured in hours (negative = the clock shifted later).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control</w:t>
      </w:r>
      <w:r>
        <w:t xml:space="preserve"> </w:t>
      </w:r>
      <w:r>
        <w:t xml:space="preserve">— no light at all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knee</w:t>
      </w:r>
      <w:r>
        <w:t xml:space="preserve"> </w:t>
      </w:r>
      <w:r>
        <w:t xml:space="preserve">— light on the back of the knee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eyes</w:t>
      </w:r>
      <w:r>
        <w:t xml:space="preserve"> </w:t>
      </w:r>
      <w:r>
        <w:t xml:space="preserve">— light in the eyes</w:t>
      </w:r>
    </w:p>
    <w:p>
      <w:pPr>
        <w:pStyle w:val="FirstParagraph"/>
      </w:pPr>
      <w:r>
        <w:rPr>
          <w:b/>
          <w:bCs/>
        </w:rPr>
        <w:t xml:space="preserve">Why this study is here.</w:t>
      </w:r>
      <w:r>
        <w:t xml:space="preserve"> </w:t>
      </w:r>
      <w:r>
        <w:rPr>
          <w:rStyle w:val="VerbatimChar"/>
        </w:rPr>
        <w:t xml:space="preserve">knee</w:t>
      </w:r>
      <w:r>
        <w:t xml:space="preserve"> </w:t>
      </w:r>
      <w:r>
        <w:t xml:space="preserve">is not really a third treatment. It is a</w:t>
      </w:r>
      <w:r>
        <w:t xml:space="preserve"> </w:t>
      </w:r>
      <w:r>
        <w:rPr>
          <w:b/>
          <w:bCs/>
        </w:rPr>
        <w:t xml:space="preserve">placebo</w:t>
      </w:r>
      <w:r>
        <w:t xml:space="preserve"> </w:t>
      </w:r>
      <w:r>
        <w:t xml:space="preserve">— it puts a person through the entire procedure (the apparatus, the room, the night, the measurement) while delivering light somewhere it should not work. Today you decide whether that arm earned its place.</w:t>
      </w:r>
    </w:p>
    <w:p>
      <w:pPr>
        <w:pStyle w:val="BodyText"/>
      </w:pPr>
      <w:r>
        <w:t xml:space="preserve">This is Whitlock &amp; Schluter, Example 15.1.</w:t>
      </w:r>
    </w:p>
    <w:p>
      <w:r>
        <w:pict>
          <v:rect style="width:0;height:1.5pt" o:hralign="center" o:hrstd="t" o:hr="t"/>
        </w:pict>
      </w:r>
    </w:p>
    <w:bookmarkEnd w:id="12"/>
    <w:bookmarkStart w:id="13" w:name="part-1-setup-and-the-data"/>
    <w:p>
      <w:pPr>
        <w:pStyle w:val="Heading1"/>
      </w:pPr>
      <w:r>
        <w:t xml:space="preserve">Part 1 · Setup and the data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── Part 1.1 · Setup and the data ───────────────────────────────────────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(effectsize)</w:t>
      </w:r>
      <w:r>
        <w:br/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"themes_functions/r_themes_and_functions.R"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knees_df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"data/knees.csv"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knees_df</w:t>
      </w:r>
    </w:p>
    <w:p>
      <w:r>
        <w:pict>
          <v:rect style="width:0;height:1.5pt" o:hralign="center" o:hrstd="t" o:hr="t"/>
        </w:pict>
      </w:r>
    </w:p>
    <w:bookmarkEnd w:id="13"/>
    <w:bookmarkStart w:id="14" w:name="part-2-read-the-design-off-the-data"/>
    <w:p>
      <w:pPr>
        <w:pStyle w:val="Heading1"/>
      </w:pPr>
      <w:r>
        <w:t xml:space="preserve">Part 2 · Read the design off the data</w:t>
      </w:r>
    </w:p>
    <w:p>
      <w:pPr>
        <w:pStyle w:val="FirstParagraph"/>
      </w:pPr>
      <w:r>
        <w:t xml:space="preserve">Before any test: how many replicates, at what level, and is it balanced?</w:t>
      </w:r>
    </w:p>
    <w:p>
      <w:pPr>
        <w:pStyle w:val="BodyText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── Part 2.1 · Read the design off the data ─────────────────────────────</w:t>
      </w:r>
      <w:r>
        <w:br/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(knees_df, treatment)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What is the experimental unit here, and is the design balanced?</w:t>
      </w:r>
    </w:p>
    <w:p>
      <w:pPr>
        <w:pStyle w:val="SourceCode"/>
      </w:pPr>
      <w:r>
        <w:rPr>
          <w:rStyle w:val="VerbatimChar"/>
        </w:rPr>
        <w:t xml:space="preserve">unit = ____________________    balanced? ____________________</w:t>
      </w:r>
    </w:p>
    <w:p>
      <w:pPr>
        <w:pStyle w:val="FirstParagraph"/>
      </w:pPr>
      <w:r>
        <w:rPr>
          <w:b/>
          <w:bCs/>
        </w:rPr>
        <w:t xml:space="preserve">▶ Run this</w:t>
      </w:r>
      <w:r>
        <w:t xml:space="preserve"> </w:t>
      </w:r>
      <w:r>
        <w:t xml:space="preserve">— the numbers for each group:</w:t>
      </w:r>
    </w:p>
    <w:p>
      <w:pPr>
        <w:pStyle w:val="SourceCode"/>
      </w:pPr>
      <w:r>
        <w:rPr>
          <w:rStyle w:val="CommentTok"/>
        </w:rPr>
        <w:t xml:space="preserve"># ── Part 2.2 · Read the design off the data ─────────────────────────────</w:t>
      </w:r>
      <w:r>
        <w:br/>
      </w:r>
      <w:r>
        <w:rPr>
          <w:rStyle w:val="NormalTok"/>
        </w:rPr>
        <w:t xml:space="preserve">knees_df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(treatment)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summary_stats</w:t>
      </w:r>
      <w:r>
        <w:rPr>
          <w:rStyle w:val="NormalTok"/>
        </w:rPr>
        <w:t xml:space="preserve">(shift_h))</w:t>
      </w:r>
    </w:p>
    <w:p>
      <w:pPr>
        <w:pStyle w:val="FirstParagraph"/>
      </w:pPr>
      <w:r>
        <w:rPr>
          <w:b/>
          <w:bCs/>
        </w:rPr>
        <w:t xml:space="preserve">▶ Run this</w:t>
      </w:r>
      <w:r>
        <w:t xml:space="preserve"> </w:t>
      </w:r>
      <w:r>
        <w:t xml:space="preserve">— look at the data before you test it:</w:t>
      </w:r>
    </w:p>
    <w:p>
      <w:pPr>
        <w:pStyle w:val="SourceCode"/>
      </w:pPr>
      <w:r>
        <w:rPr>
          <w:rStyle w:val="CommentTok"/>
        </w:rPr>
        <w:t xml:space="preserve"># ── Part 2.3 · Read the design off the data ─────────────────────────────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(knees_df,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(treatment, shift_h))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geom_jitter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From the plot alone, which treatment looks different from the other two?</w:t>
      </w:r>
    </w:p>
    <w:p>
      <w:pPr>
        <w:pStyle w:val="BodyText"/>
      </w:pPr>
      <w:r>
        <w:rPr>
          <w:rStyle w:val="VerbatimChar"/>
        </w:rPr>
        <w:t xml:space="preserve">________________________</w:t>
      </w:r>
    </w:p>
    <w:p>
      <w:r>
        <w:pict>
          <v:rect style="width:0;height:1.5pt" o:hralign="center" o:hrstd="t" o:hr="t"/>
        </w:pict>
      </w:r>
    </w:p>
    <w:bookmarkEnd w:id="14"/>
    <w:bookmarkStart w:id="15" w:name="part-3-did-the-placebo-do-anything"/>
    <w:p>
      <w:pPr>
        <w:pStyle w:val="Heading1"/>
      </w:pPr>
      <w:r>
        <w:t xml:space="preserve">Part 3 · Did the placebo do anything?</w:t>
      </w:r>
    </w:p>
    <w:p>
      <w:pPr>
        <w:pStyle w:val="FirstParagraph"/>
      </w:pPr>
      <w:r>
        <w:t xml:space="preserve">This is the bias question: does going through the procedure, without useful light, shift the clock on its own?</w:t>
      </w:r>
    </w:p>
    <w:p>
      <w:pPr>
        <w:pStyle w:val="BodyText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── Part 3.1 · Did the placebo do anything? ─────────────────────────────</w:t>
      </w:r>
      <w:r>
        <w:br/>
      </w:r>
      <w:r>
        <w:rPr>
          <w:rStyle w:val="NormalTok"/>
        </w:rPr>
        <w:t xml:space="preserve">knees_df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(treatment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"control"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"knee"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(shift_h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.)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p = __________ . Is there a procedural artifact in this experiment?</w:t>
      </w:r>
    </w:p>
    <w:p>
      <w:pPr>
        <w:pStyle w:val="BodyText"/>
      </w:pPr>
      <w:r>
        <w:rPr>
          <w:rStyle w:val="VerbatimChar"/>
        </w:rPr>
        <w:t xml:space="preserve">________________________</w:t>
      </w:r>
    </w:p>
    <w:p>
      <w:r>
        <w:pict>
          <v:rect style="width:0;height:1.5pt" o:hralign="center" o:hrstd="t" o:hr="t"/>
        </w:pict>
      </w:r>
    </w:p>
    <w:bookmarkEnd w:id="15"/>
    <w:bookmarkStart w:id="19" w:name="Xb28d3568bed10888de0c90358796d499c54771f"/>
    <w:p>
      <w:pPr>
        <w:pStyle w:val="Heading1"/>
      </w:pPr>
      <w:r>
        <w:t xml:space="preserve">Part 4 · Did the real treatment do anything?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── Part 4.1 · Did the real treatment do anything? ──────────────────────</w:t>
      </w:r>
      <w:r>
        <w:br/>
      </w:r>
      <w:r>
        <w:rPr>
          <w:rStyle w:val="NormalTok"/>
        </w:rPr>
        <w:t xml:space="preserve">knees_df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(treatment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"control"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"eyes"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(shift_h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.)</w:t>
      </w:r>
    </w:p>
    <w:p>
      <w:pPr>
        <w:pStyle w:val="FirstParagraph"/>
      </w:pPr>
      <w:r>
        <w:rPr>
          <w:b/>
          <w:bCs/>
        </w:rPr>
        <w:t xml:space="preserve">▶ Run this</w:t>
      </w:r>
      <w:r>
        <w:t xml:space="preserve"> </w:t>
      </w:r>
      <w:r>
        <w:t xml:space="preserve">— how big is it?</w:t>
      </w:r>
    </w:p>
    <w:p>
      <w:pPr>
        <w:pStyle w:val="SourceCode"/>
      </w:pPr>
      <w:r>
        <w:rPr>
          <w:rStyle w:val="CommentTok"/>
        </w:rPr>
        <w:t xml:space="preserve"># ── Part 4.2 · Did the real treatment do anything? ──────────────────────</w:t>
      </w:r>
      <w:r>
        <w:br/>
      </w:r>
      <w:r>
        <w:rPr>
          <w:rStyle w:val="NormalTok"/>
        </w:rPr>
        <w:t xml:space="preserve">knees_df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(treatment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"control"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"eyes"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cohens_d</w:t>
      </w:r>
      <w:r>
        <w:rPr>
          <w:rStyle w:val="NormalTok"/>
        </w:rPr>
        <w:t xml:space="preserve">(shift_h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.)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p = __________ , d = __________ 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Two comparisons, both decided in advance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We ran two tests against the same control rather than one test across all three groups. That is legitimate here</w:t>
            </w:r>
            <w:r>
              <w:t xml:space="preserve"> </w:t>
            </w:r>
            <w:r>
              <w:rPr>
                <w:i/>
                <w:iCs/>
              </w:rPr>
              <w:t xml:space="preserve">because we chose both comparisons before looking</w:t>
            </w:r>
            <w:r>
              <w:t xml:space="preserve"> </w:t>
            </w:r>
            <w:r>
              <w:t xml:space="preserve">— each one answers a specific design question. Three groups at once is a one-way ANOVA, which is Week 8.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9"/>
    <w:bookmarkStart w:id="23" w:name="part-5-what-the-design-bought"/>
    <w:p>
      <w:pPr>
        <w:pStyle w:val="Heading1"/>
      </w:pPr>
      <w:r>
        <w:t xml:space="preserve">Part 5 · What the design bought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In the sponge experiment from lecture, the sham control (foam)</w:t>
      </w:r>
      <w:r>
        <w:t xml:space="preserve"> </w:t>
      </w:r>
      <w:r>
        <w:rPr>
          <w:b/>
          <w:bCs/>
        </w:rPr>
        <w:t xml:space="preserve">did</w:t>
      </w:r>
      <w:r>
        <w:t xml:space="preserve"> </w:t>
      </w:r>
      <w:r>
        <w:t xml:space="preserve">differ from the bare control, and the real treatment added nothing. Here the result came out the other way around. One sentence: what would you have concluded in this study if the</w:t>
      </w:r>
      <w:r>
        <w:t xml:space="preserve"> </w:t>
      </w:r>
      <w:r>
        <w:rPr>
          <w:rStyle w:val="VerbatimChar"/>
        </w:rPr>
        <w:t xml:space="preserve">knee</w:t>
      </w:r>
      <w:r>
        <w:t xml:space="preserve"> </w:t>
      </w:r>
      <w:r>
        <w:t xml:space="preserve">arm had never been run?</w:t>
      </w:r>
    </w:p>
    <w:p>
      <w:pPr>
        <w:pStyle w:val="SourceCode"/>
      </w:pPr>
      <w:r>
        <w:rPr>
          <w:rStyle w:val="VerbatimChar"/>
        </w:rPr>
        <w:t xml:space="preserve">________________________________________________________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🚀 If you finish early:</w:t>
            </w:r>
            <w:r>
              <w:t xml:space="preserve"> </w:t>
            </w:r>
            <w:r>
              <w:t xml:space="preserve">This design is unbalanced (8, 7, 7). Work out how much precision that costs: compare the standard error of the</w:t>
            </w:r>
            <w:r>
              <w:t xml:space="preserve"> </w:t>
            </w:r>
            <w:r>
              <w:rPr>
                <w:rStyle w:val="VerbatimChar"/>
              </w:rPr>
              <w:t xml:space="preserve">control</w:t>
            </w:r>
            <w:r>
              <w:t xml:space="preserve"> </w:t>
            </w:r>
            <w:r>
              <w:t xml:space="preserve">mean with what it would be if all 22 subjects had been split evenly into three groups of about 7.3.</w:t>
            </w:r>
          </w:p>
          <w:p>
            <w:pPr>
              <w:pStyle w:val="SourceCode"/>
            </w:pPr>
            <w:r>
              <w:rPr>
                <w:rStyle w:val="CommentTok"/>
              </w:rPr>
              <w:t xml:space="preserve"># ── Part 5.1 · What the design bought (bonus) ───────────────────────────</w:t>
            </w:r>
            <w:r>
              <w:br/>
            </w:r>
            <w:r>
              <w:rPr>
                <w:rStyle w:val="CommentTok"/>
              </w:rPr>
              <w:t xml:space="preserve"># Write your code in the R script: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part-6-the-figure-you-hand-in"/>
    <w:p>
      <w:pPr>
        <w:pStyle w:val="Heading1"/>
      </w:pPr>
      <w:r>
        <w:t xml:space="preserve">Part 6 · The figure you hand in</w:t>
      </w:r>
    </w:p>
    <w:p>
      <w:pPr>
        <w:pStyle w:val="FirstParagraph"/>
      </w:pPr>
      <w:r>
        <w:t xml:space="preserve">This is the only plot that gets labels, a theme and a title — because this is the one being graded on presentation.</w:t>
      </w:r>
    </w:p>
    <w:p>
      <w:pPr>
        <w:pStyle w:val="BodyText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── Part 6.1 · The figure you hand in ───────────────────────────────────</w:t>
      </w:r>
      <w:r>
        <w:br/>
      </w:r>
      <w:r>
        <w:rPr>
          <w:rStyle w:val="NormalTok"/>
        </w:rPr>
        <w:t xml:space="preserve">knees_summary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knees_df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(treatment)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summary_stats</w:t>
      </w:r>
      <w:r>
        <w:rPr>
          <w:rStyle w:val="NormalTok"/>
        </w:rPr>
        <w:t xml:space="preserve">(shift_h))</w:t>
      </w:r>
      <w:r>
        <w:br/>
      </w:r>
      <w:r>
        <w:br/>
      </w:r>
      <w:r>
        <w:rPr>
          <w:rStyle w:val="NormalTok"/>
        </w:rPr>
        <w:t xml:space="preserve">final_plot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(knees_summary,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(treatment, mean))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"grey70"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geom_errorbar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ymin =</w:t>
      </w:r>
      <w:r>
        <w:rPr>
          <w:rStyle w:val="NormalTok"/>
        </w:rPr>
        <w:t xml:space="preserve"> 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ymax =</w:t>
      </w:r>
      <w:r>
        <w:rPr>
          <w:rStyle w:val="NormalTok"/>
        </w:rPr>
        <w:t xml:space="preserve"> mean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se),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"Circadian shift by light treatment"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"Mean ± 1 SE; light on the knee behaves like no light at all"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"Light treatment"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"Circadian shift (hours)"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theme_regular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final_plot</w:t>
      </w:r>
      <w:r>
        <w:br/>
      </w:r>
      <w:r>
        <w:br/>
      </w:r>
      <w:r>
        <w:rPr>
          <w:rStyle w:val="FunctionTok"/>
        </w:rPr>
        <w:t xml:space="preserve">ggsave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"figures/knees_figure.pdf"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plot   =</w:t>
      </w:r>
      <w:r>
        <w:rPr>
          <w:rStyle w:val="NormalTok"/>
        </w:rPr>
        <w:t xml:space="preserve"> final_plot,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width 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units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Open the PDF and check the axis labels are readable before you submit it.</w:t>
      </w:r>
    </w:p>
    <w:p>
      <w:r>
        <w:pict>
          <v:rect style="width:0;height:1.5pt" o:hralign="center" o:hrstd="t" o:hr="t"/>
        </w:pict>
      </w:r>
    </w:p>
    <w:bookmarkEnd w:id="24"/>
    <w:bookmarkStart w:id="27" w:name="review-and-checkpoint"/>
    <w:p>
      <w:pPr>
        <w:pStyle w:val="Heading1"/>
      </w:pPr>
      <w:r>
        <w:t xml:space="preserve">Review and checkpoint</w:t>
      </w:r>
    </w:p>
    <w:p>
      <w:pPr>
        <w:pStyle w:val="FirstParagraph"/>
      </w:pPr>
      <w:r>
        <w:t xml:space="preserve">At this point you can:</w:t>
      </w:r>
    </w:p>
    <w:p>
      <w:pPr>
        <w:pStyle w:val="Compact"/>
        <w:numPr>
          <w:ilvl w:val="0"/>
          <w:numId w:val="1002"/>
        </w:numPr>
      </w:pPr>
      <w:r>
        <w:t xml:space="preserve">State the experimental unit and say whether a design is balanced</w:t>
      </w:r>
    </w:p>
    <w:p>
      <w:pPr>
        <w:pStyle w:val="Compact"/>
        <w:numPr>
          <w:ilvl w:val="0"/>
          <w:numId w:val="1003"/>
        </w:numPr>
      </w:pPr>
      <w:r>
        <w:t xml:space="preserve">Explain what a placebo or sham control is for</w:t>
      </w:r>
    </w:p>
    <w:p>
      <w:pPr>
        <w:pStyle w:val="Compact"/>
        <w:numPr>
          <w:ilvl w:val="0"/>
          <w:numId w:val="1004"/>
        </w:numPr>
      </w:pPr>
      <w:r>
        <w:t xml:space="preserve">Test whether a procedural artifact exists, and interpret the answer either way</w:t>
      </w:r>
    </w:p>
    <w:p>
      <w:pPr>
        <w:pStyle w:val="Compact"/>
        <w:numPr>
          <w:ilvl w:val="0"/>
          <w:numId w:val="1005"/>
        </w:numPr>
      </w:pPr>
      <w:r>
        <w:t xml:space="preserve">Say why the same test can support opposite conclusions in two different designs</w:t>
      </w:r>
    </w:p>
    <w:p>
      <w:pPr>
        <w:pStyle w:val="Compact"/>
        <w:numPr>
          <w:ilvl w:val="0"/>
          <w:numId w:val="1006"/>
        </w:numPr>
      </w:pPr>
      <w:r>
        <w:t xml:space="preserve">Export a labelled, themed figure to PDF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📤 What to turn in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rStyle w:val="VerbatimChar"/>
              </w:rPr>
              <w:t xml:space="preserve">09_study_design_sampling.R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rStyle w:val="VerbatimChar"/>
              </w:rPr>
              <w:t xml:space="preserve">figures/knees_figure.pdf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This worksheet, with your written answers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27"/>
    <w:bookmarkStart w:id="30" w:name="homework"/>
    <w:p>
      <w:pPr>
        <w:pStyle w:val="Heading1"/>
      </w:pPr>
      <w:r>
        <w:t xml:space="preserve">Homework</w:t>
      </w:r>
    </w:p>
    <w:p>
      <w:pPr>
        <w:pStyle w:val="FirstParagraph"/>
      </w:pPr>
      <w:hyperlink r:id="rId28">
        <w:r>
          <w:rPr>
            <w:rStyle w:val="Hyperlink"/>
            <w:b/>
            <w:bCs/>
          </w:rPr>
          <w:t xml:space="preserve">Homework 5 — Study Design &amp; Sampling: Finding the Real Replicate</w:t>
        </w:r>
      </w:hyperlink>
    </w:p>
    <w:p>
      <w:pPr>
        <w:pStyle w:val="BodyText"/>
      </w:pPr>
      <w:r>
        <w:rPr>
          <w:b/>
          <w:bCs/>
        </w:rPr>
        <w:t xml:space="preserve">1022 mangrove periwinkles from 18 sites</w:t>
      </w:r>
      <w:r>
        <w:t xml:space="preserve">, nine on each side of the tropical Atlantic, analysed twice: once with the snail as the replicate and once with the site as the replicate. The comparison is the same both times; the answer is not. The homework is about deciding which of those two analyses you are entitled to report.</w:t>
      </w:r>
    </w:p>
    <w:p>
      <w:pPr>
        <w:pStyle w:val="BodyText"/>
      </w:pPr>
      <w:r>
        <w:rPr>
          <w:b/>
          <w:bCs/>
        </w:rPr>
        <w:t xml:space="preserve">Data:</w:t>
      </w:r>
      <w:r>
        <w:t xml:space="preserve"> </w:t>
      </w:r>
      <w:hyperlink r:id="rId29">
        <w:r>
          <w:rPr>
            <w:rStyle w:val="VerbatimChar"/>
          </w:rPr>
          <w:t xml:space="preserve">littoraria.csv</w:t>
        </w:r>
      </w:hyperlink>
      <w:r>
        <w:t xml:space="preserve"> </w:t>
      </w:r>
      <w:r>
        <w:t xml:space="preserve">— Gotelli &amp; Ellison,</w:t>
      </w:r>
      <w:r>
        <w:t xml:space="preserve"> </w:t>
      </w:r>
      <w:r>
        <w:rPr>
          <w:i/>
          <w:iCs/>
        </w:rPr>
        <w:t xml:space="preserve">A Primer of Ecological Statistics</w:t>
      </w:r>
      <w:r>
        <w:t xml:space="preserve">, Chapter 12 archive; originally Merkt &amp; Ellison (1998),</w:t>
      </w:r>
      <w:r>
        <w:t xml:space="preserve"> </w:t>
      </w:r>
      <w:r>
        <w:rPr>
          <w:i/>
          <w:iCs/>
        </w:rPr>
        <w:t xml:space="preserve">Malacologia</w:t>
      </w:r>
      <w:r>
        <w:t xml:space="preserve"> </w:t>
      </w:r>
      <w:r>
        <w:t xml:space="preserve">40(1–2): 279–295.</w:t>
      </w:r>
    </w:p>
    <w:bookmarkEnd w:id="30"/>
    <w:sectPr w:rsidR="00BC5723" w:rsidRPr="00846576">
      <w:pgSz w:h="15840" w:w="12240"/>
      <w:pgMar w:bottom="720" w:footer="360" w:gutter="0" w:header="360" w:left="1008" w:right="720" w:top="72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cs="Times New Roman (Body CS)" w:eastAsiaTheme="minorHAnsi" w:hAnsi="Arial"/>
        <w:kern w:val="2"/>
        <w:sz w:val="24"/>
        <w:szCs w:val="24"/>
        <w:lang w:bidi="ar-SA" w:eastAsia="en-US" w:val="en-US"/>
        <w14:ligatures w14:val="standardContextual"/>
      </w:rPr>
    </w:rPrDefault>
    <w:pPrDefault>
      <w:pPr>
        <w:spacing w:after="0" w:before="0" w:line="240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120"/>
      <w:outlineLvl w:val="0"/>
    </w:pPr>
    <w:rPr>
      <w:rFonts w:asciiTheme="majorHAnsi" w:cstheme="majorBidi" w:eastAsiaTheme="majorEastAsia" w:hAnsiTheme="majorHAnsi"/>
      <w:b/>
      <w:color w:themeColor="accent1" w:themeShade="BF" w:val="0F476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00"/>
      <w:outlineLvl w:val="1"/>
    </w:pPr>
    <w:rPr>
      <w:rFonts w:asciiTheme="majorHAnsi" w:cstheme="majorBidi" w:eastAsiaTheme="majorEastAsia" w:hAnsiTheme="majorHAnsi"/>
      <w:color w:themeColor="accent1" w:themeShade="BF" w:val="0F4761"/>
      <w:szCs w:val="28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80"/>
      <w:outlineLvl w:val="2"/>
    </w:pPr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60"/>
      <w:outlineLvl w:val="4"/>
    </w:pPr>
    <w:rPr>
      <w:rFonts w:asciiTheme="minorHAnsi" w:cstheme="majorBidi" w:eastAsiaTheme="majorEastAsia" w:hAnsiTheme="minorHAnsi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6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6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spacing w:before="60"/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spacing w:before="60"/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themeColor="accent1" w:themeShade="BF" w:val="0F4761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 w:before="0"/>
      <w:contextualSpacing/>
    </w:pPr>
    <w:rPr>
      <w:rFonts w:asciiTheme="majorHAnsi" w:cstheme="majorBidi" w:eastAsiaTheme="majorEastAsia" w:hAnsiTheme="majorHAnsi"/>
      <w:spacing w:val="-10"/>
      <w:kern w:val="28"/>
      <w:sz w:val="28"/>
      <w:szCs w:val="28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28"/>
      <w:szCs w:val="28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 w:before="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spacing w:before="0"/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themeColor="accent1" w:themeShade="BF" w:val="0F4761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FBFBFB" w:val="clear"/>
      <w:spacing w:after="60" w:before="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BFBFBF" w:space="1" w:sz="6" w:val="single"/>
        <w:left w:color="BFBFBF" w:space="4" w:sz="6" w:val="single"/>
        <w:bottom w:color="BFBFBF" w:space="1" w:sz="6" w:val="single"/>
        <w:right w:color="BFBFBF" w:space="4" w:sz="6" w:val="single"/>
      </w:pBdr>
      <w:shd w:color="auto" w:fill="FBFBFB" w:val="clear"/>
      <w:spacing w:after="60" w:before="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pBdr>
        <w:top w:color="BFBFBF" w:space="1" w:sz="6" w:val="single"/>
        <w:left w:color="BFBFBF" w:space="4" w:sz="6" w:val="single"/>
        <w:bottom w:color="BFBFBF" w:space="1" w:sz="6" w:val="single"/>
        <w:right w:color="BFBFBF" w:space="4" w:sz="6" w:val="single"/>
      </w:pBdr>
      <w:shd w:color="auto" w:fill="FBFBFB" w:val="clear"/>
      <w:spacing w:after="60" w:before="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 w:before="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image" Id="rId20" Target="media/rId20.png" /><Relationship Type="http://schemas.openxmlformats.org/officeDocument/2006/relationships/hyperlink" Id="rId29" Target="../../homeworks/study_design_homework/data/littoraria.csv" TargetMode="External" /><Relationship Type="http://schemas.openxmlformats.org/officeDocument/2006/relationships/hyperlink" Id="rId28" Target="../../homeworks/study_design_homework/study_design_homework.qmd" TargetMode="External" /><Relationship Type="http://schemas.openxmlformats.org/officeDocument/2006/relationships/hyperlink" Id="rId11" Target="data/09_study_design_sampling.R" TargetMode="External" /><Relationship Type="http://schemas.openxmlformats.org/officeDocument/2006/relationships/hyperlink" Id="rId9" Target="data/knees.csv" TargetMode="External" /><Relationship Type="http://schemas.openxmlformats.org/officeDocument/2006/relationships/hyperlink" Id="rId10" Target="themes_functions/r_themes_and_functions.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../../homeworks/study_design_homework/data/littoraria.csv" TargetMode="External" /><Relationship Type="http://schemas.openxmlformats.org/officeDocument/2006/relationships/hyperlink" Id="rId28" Target="../../homeworks/study_design_homework/study_design_homework.qmd" TargetMode="External" /><Relationship Type="http://schemas.openxmlformats.org/officeDocument/2006/relationships/hyperlink" Id="rId11" Target="data/09_study_design_sampling.R" TargetMode="External" /><Relationship Type="http://schemas.openxmlformats.org/officeDocument/2006/relationships/hyperlink" Id="rId9" Target="data/knees.csv" TargetMode="External" /><Relationship Type="http://schemas.openxmlformats.org/officeDocument/2006/relationships/hyperlink" Id="rId10" Target="themes_functions/r_themes_and_functions.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Activity: Study Design &amp; Sampling</dc:title>
  <dc:creator>Bill Perry</dc:creator>
  <dc:description>In-class activity: reading a design off a real randomized, blinded, unbalanced experiment — Wright &amp; Czeisler’s circadian light study — and testing whether the placebo arm was needed.</dc:description>
  <cp:keywords/>
  <dcterms:created xsi:type="dcterms:W3CDTF">2026-10-19T16:30:05Z</dcterms:created>
  <dcterms:modified xsi:type="dcterms:W3CDTF">2026-10-19T16:30:05Z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efault">
    <vt:lpwstr>True</vt:lpwstr>
  </property>
  <property fmtid="{D5CDD505-2E9C-101B-9397-08002B2CF9AE}" pid="6" name="editor">
    <vt:lpwstr>visual</vt:lpwstr>
  </property>
  <property fmtid="{D5CDD505-2E9C-101B-9397-08002B2CF9AE}" pid="7" name="execute">
    <vt:lpwstr/>
  </property>
  <property fmtid="{D5CDD505-2E9C-101B-9397-08002B2CF9AE}" pid="8" name="format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knitr">
    <vt:lpwstr/>
  </property>
  <property fmtid="{D5CDD505-2E9C-101B-9397-08002B2CF9AE}" pid="13" name="labels">
    <vt:lpwstr/>
  </property>
  <property fmtid="{D5CDD505-2E9C-101B-9397-08002B2CF9AE}" pid="14" name="order">
    <vt:lpwstr>9</vt:lpwstr>
  </property>
  <property fmtid="{D5CDD505-2E9C-101B-9397-08002B2CF9AE}" pid="15" name="resources">
    <vt:lpwstr/>
  </property>
  <property fmtid="{D5CDD505-2E9C-101B-9397-08002B2CF9AE}" pid="16" name="subtitle">
    <vt:lpwstr>Design and sampling</vt:lpwstr>
  </property>
  <property fmtid="{D5CDD505-2E9C-101B-9397-08002B2CF9AE}" pid="17" name="toc-title">
    <vt:lpwstr>Table of contents</vt:lpwstr>
  </property>
  <property fmtid="{D5CDD505-2E9C-101B-9397-08002B2CF9AE}" pid="18" name="week">
    <vt:lpwstr>5</vt:lpwstr>
  </property>
</Properties>
</file>