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9.png" ContentType="image/png"/>
  <Override PartName="/word/media/rId21.png" ContentType="image/png"/>
  <Override PartName="/word/media/rId51.png" ContentType="image/png"/>
  <Override PartName="/word/media/rId88.png" ContentType="image/png"/>
  <Override PartName="/word/media/rId12.png" ContentType="image/png"/>
  <Override PartName="/word/media/rId25.png" ContentType="image/png"/>
  <Override PartName="/word/media/rId42.png" ContentType="image/png"/>
  <Override PartName="/word/media/rId75.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Power and Type I &amp; II Error</w:t>
      </w:r>
    </w:p>
    <w:p>
      <w:pPr>
        <w:pStyle w:val="Subtitle"/>
      </w:pPr>
      <w:r>
        <w:t xml:space="preserve">Errors and power</w:t>
      </w:r>
    </w:p>
    <w:p>
      <w:pPr>
        <w:pStyle w:val="Author"/>
      </w:pPr>
      <w:r>
        <w:t xml:space="preserve">Bill Perry</w:t>
      </w:r>
    </w:p>
    <w:bookmarkStart w:id="17" w:name="where-we-left-off"/>
    <w:p>
      <w:pPr>
        <w:pStyle w:val="Heading2"/>
      </w:pPr>
      <w:r>
        <w:t xml:space="preserve">Where We Left Off</w:t>
      </w:r>
    </w:p>
    <w:p>
      <w:pPr>
        <w:pStyle w:val="FirstParagraph"/>
      </w:pPr>
      <w:r>
        <w:t xml:space="preserve">Covered last time:</w:t>
      </w:r>
    </w:p>
    <w:p>
      <w:pPr>
        <w:pStyle w:val="Compact"/>
        <w:numPr>
          <w:ilvl w:val="0"/>
          <w:numId w:val="1001"/>
        </w:numPr>
      </w:pPr>
      <w:r>
        <w:t xml:space="preserve">Statistical inference fundamentals</w:t>
      </w:r>
    </w:p>
    <w:p>
      <w:pPr>
        <w:pStyle w:val="Compact"/>
        <w:numPr>
          <w:ilvl w:val="0"/>
          <w:numId w:val="1001"/>
        </w:numPr>
      </w:pPr>
      <w:r>
        <w:t xml:space="preserve">Hypothesis testing principles</w:t>
      </w:r>
    </w:p>
    <w:p>
      <w:pPr>
        <w:pStyle w:val="Compact"/>
        <w:numPr>
          <w:ilvl w:val="0"/>
          <w:numId w:val="1001"/>
        </w:numPr>
      </w:pPr>
      <w:r>
        <w:t xml:space="preserve">T-distributions</w:t>
      </w:r>
    </w:p>
    <w:p>
      <w:pPr>
        <w:pStyle w:val="Compact"/>
        <w:numPr>
          <w:ilvl w:val="0"/>
          <w:numId w:val="1001"/>
        </w:numPr>
      </w:pPr>
      <w:r>
        <w:t xml:space="preserve">One-sample, two-sample, and paired t-tests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 from last lecture</w:t>
            </w:r>
          </w:p>
          <w:p>
            <w:pPr>
              <w:pStyle w:val="BodyText"/>
            </w:pPr>
            <w:pPr>
              <w:spacing w:after="16"/>
            </w:pPr>
            <w:r>
              <w:t xml:space="preserve">A t-test gives you a p-value and a decision — reject or fail to reject H₀. Today asks the next question: how good is that decision, and how often could it be wrong?</w:t>
            </w:r>
          </w:p>
          <w:p/>
        </w:tc>
      </w:tr>
    </w:tbl>
    <w:p>
      <w:pPr>
        <w:pStyle w:val="CaptionedFigure"/>
      </w:pPr>
      <w:r>
        <w:drawing>
          <wp:inline>
            <wp:extent cx="2468880" cy="2999232"/>
            <wp:effectExtent b="0" l="0" r="0" t="0"/>
            <wp:docPr descr="Diagram of a large circle labeled ‘population’ full of dots with Greek-letter parameters (mu, sigma, sigma-squared), with orange arrows drawing a subset of dots down into a small circle labeled ‘sample’ with its statistics (y-bar, s, s-squared), illustrating that a sample is used to estimate unknown population parameters." title="" id="13" name="Picture"/>
            <a:graphic>
              <a:graphicData uri="http://schemas.openxmlformats.org/drawingml/2006/picture">
                <pic:pic>
                  <pic:nvPicPr>
                    <pic:cNvPr descr="images/clipboard-536528302.png" id="14" name="Picture"/>
                    <pic:cNvPicPr>
                      <a:picLocks noChangeArrowheads="1" noChangeAspect="1"/>
                    </pic:cNvPicPr>
                  </pic:nvPicPr>
                  <pic:blipFill>
                    <a:blip r:embed="rId12"/>
                    <a:stretch>
                      <a:fillRect/>
                    </a:stretch>
                  </pic:blipFill>
                  <pic:spPr bwMode="auto">
                    <a:xfrm>
                      <a:off x="0" y="0"/>
                      <a:ext cx="2468880" cy="2999232"/>
                    </a:xfrm>
                    <a:prstGeom prst="rect">
                      <a:avLst/>
                    </a:prstGeom>
                    <a:noFill/>
                    <a:ln w="9525">
                      <a:noFill/>
                      <a:headEnd/>
                      <a:tailEnd/>
                    </a:ln>
                  </pic:spPr>
                </pic:pic>
              </a:graphicData>
            </a:graphic>
          </wp:inline>
        </w:drawing>
      </w:r>
    </w:p>
    <w:p>
      <w:pPr>
        <w:pStyle w:val="ImageCaption"/>
      </w:pPr>
      <w:r>
        <w:t xml:space="preserve">Diagram of a large circle labeled</w:t>
      </w:r>
      <w:r>
        <w:t xml:space="preserve"> </w:t>
      </w:r>
      <w:r>
        <w:t xml:space="preserve">‘population’</w:t>
      </w:r>
      <w:r>
        <w:t xml:space="preserve"> </w:t>
      </w:r>
      <w:r>
        <w:t xml:space="preserve">full of dots with Greek-letter parameters (mu, sigma, sigma-squared), with orange arrows drawing a subset of dots down into a small circle labeled</w:t>
      </w:r>
      <w:r>
        <w:t xml:space="preserve"> </w:t>
      </w:r>
      <w:r>
        <w:t xml:space="preserve">‘sample’</w:t>
      </w:r>
      <w:r>
        <w:t xml:space="preserve"> </w:t>
      </w:r>
      <w:r>
        <w:t xml:space="preserve">with its statistics (y-bar, s, s-squared), illustrating that a sample is used to estimate unknown population parameters.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Positron.app/Contents/Resources/app/quarto/share/formats/docx/note.png" id="1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Today’s objectives</w:t>
            </w:r>
          </w:p>
          <w:p>
            <w:pPr>
              <w:pStyle w:val="Compact"/>
              <w:numPr>
                <w:ilvl w:val="0"/>
                <w:numId w:val="1002"/>
              </w:numPr>
            </w:pPr>
            <w:r>
              <w:t xml:space="preserve">Two ways to be wrong: Type I &amp; Type II error</w:t>
            </w:r>
          </w:p>
          <w:p>
            <w:pPr>
              <w:pStyle w:val="Compact"/>
              <w:numPr>
                <w:ilvl w:val="0"/>
                <w:numId w:val="1002"/>
              </w:numPr>
            </w:pPr>
            <w:r>
              <w:t xml:space="preserve">Statistical power, and what changes it</w:t>
            </w:r>
          </w:p>
          <w:p>
            <w:pPr>
              <w:pStyle w:val="Compact"/>
              <w:numPr>
                <w:ilvl w:val="0"/>
                <w:numId w:val="1002"/>
              </w:numPr>
            </w:pPr>
            <w:r>
              <w:t xml:space="preserve">Power calculated two ways —</w:t>
            </w:r>
            <w:r>
              <w:t xml:space="preserve"> </w:t>
            </w:r>
            <w:r>
              <w:rPr>
                <w:b/>
                <w:bCs/>
              </w:rPr>
              <w:t xml:space="preserve">a priori</w:t>
            </w:r>
            <w:r>
              <w:t xml:space="preserve"> </w:t>
            </w:r>
            <w:r>
              <w:t xml:space="preserve">(before data collection) and</w:t>
            </w:r>
            <w:r>
              <w:t xml:space="preserve"> </w:t>
            </w:r>
            <w:r>
              <w:rPr>
                <w:b/>
                <w:bCs/>
              </w:rPr>
              <w:t xml:space="preserve">retrospectively</w:t>
            </w:r>
          </w:p>
          <w:p>
            <w:pPr>
              <w:pStyle w:val="Compact"/>
              <w:numPr>
                <w:ilvl w:val="0"/>
                <w:numId w:val="1002"/>
              </w:numPr>
            </w:pPr>
            <w:r>
              <w:t xml:space="preserve">The</w:t>
            </w:r>
            <w:r>
              <w:t xml:space="preserve"> </w:t>
            </w:r>
            <w:r>
              <w:rPr>
                <w:rStyle w:val="VerbatimChar"/>
              </w:rPr>
              <w:t xml:space="preserve">pwr</w:t>
            </w:r>
            <w:r>
              <w:t xml:space="preserve"> </w:t>
            </w:r>
            <w:r>
              <w:t xml:space="preserve">package, and why it beats a hand-rolled workaround for unequal group sizes</w:t>
            </w:r>
          </w:p>
          <w:p>
            <w:pPr>
              <w:pStyle w:val="Compact"/>
              <w:numPr>
                <w:ilvl w:val="0"/>
                <w:numId w:val="1002"/>
              </w:numPr>
            </w:pPr>
            <w:r>
              <w:t xml:space="preserve">Error bars and pseudoreplication, revisited</w:t>
            </w:r>
          </w:p>
          <w:p/>
        </w:tc>
      </w:tr>
    </w:tbl>
    <w:bookmarkEnd w:id="17"/>
    <w:bookmarkStart w:id="18" w:name="part-1-two-ways-to-be-wrong"/>
    <w:p>
      <w:pPr>
        <w:pStyle w:val="Heading2"/>
      </w:pPr>
      <w:r>
        <w:t xml:space="preserve">Part 1 · Two Ways to Be Wrong</w:t>
      </w:r>
    </w:p>
    <w:bookmarkEnd w:id="18"/>
    <w:bookmarkStart w:id="24" w:name="the-decision-table"/>
    <w:p>
      <w:pPr>
        <w:pStyle w:val="Heading2"/>
      </w:pPr>
      <w:r>
        <w:t xml:space="preserve">The Decision Table</w:t>
      </w:r>
    </w:p>
    <w:p>
      <w:pPr>
        <w:pStyle w:val="FirstParagraph"/>
      </w:pPr>
      <w:r>
        <w:t xml:space="preserve">Even a well-run study can reach the wrong conclusion. Crossing the</w:t>
      </w:r>
      <w:r>
        <w:t xml:space="preserve"> </w:t>
      </w:r>
      <w:r>
        <w:rPr>
          <w:i/>
          <w:iCs/>
        </w:rPr>
        <w:t xml:space="preserve">statistical decision</w:t>
      </w:r>
      <w:r>
        <w:t xml:space="preserve"> </w:t>
      </w:r>
      <w:r>
        <w:t xml:space="preserve">against the</w:t>
      </w:r>
      <w:r>
        <w:t xml:space="preserve"> </w:t>
      </w:r>
      <w:r>
        <w:rPr>
          <w:i/>
          <w:iCs/>
        </w:rPr>
        <w:t xml:space="preserve">unknown truth</w:t>
      </w:r>
      <w:r>
        <w:t xml:space="preserve"> </w:t>
      </w:r>
      <w:r>
        <w:t xml:space="preserve">gives exactly four outcomes:</w:t>
      </w:r>
    </w:p>
    <w:tbl>
      <w:tblPr>
        <w:tblStyle w:val="Table"/>
        <w:tblW w:type="pct" w:w="5000"/>
        <w:tblLayout w:type="fixed"/>
        <w:tblLook w:firstRow="1" w:lastRow="0" w:firstColumn="0" w:lastColumn="0" w:noHBand="0" w:noVBand="0" w:val="0020"/>
      </w:tblPr>
      <w:tblGrid>
        <w:gridCol w:w="2061"/>
        <w:gridCol w:w="2929"/>
        <w:gridCol w:w="2929"/>
      </w:tblGrid>
      <w:tr>
        <w:trPr>
          <w:tblHeader w:val="on"/>
        </w:trPr>
        <w:tc>
          <w:tcPr/>
          <w:p>
            <w:pPr>
              <w:pStyle w:val="Compact"/>
            </w:pPr>
          </w:p>
        </w:tc>
        <w:tc>
          <w:tcPr/>
          <w:p>
            <w:pPr>
              <w:pStyle w:val="Compact"/>
            </w:pPr>
            <w:r>
              <w:t xml:space="preserve">H₀ actually true (no real effect)</w:t>
            </w:r>
          </w:p>
        </w:tc>
        <w:tc>
          <w:tcPr/>
          <w:p>
            <w:pPr>
              <w:pStyle w:val="Compact"/>
            </w:pPr>
            <w:r>
              <w:t xml:space="preserve">H₀ actually false (real effect)</w:t>
            </w:r>
          </w:p>
        </w:tc>
      </w:tr>
      <w:tr>
        <w:tc>
          <w:tcPr/>
          <w:p>
            <w:pPr>
              <w:pStyle w:val="Compact"/>
            </w:pPr>
            <w:r>
              <w:rPr>
                <w:b/>
                <w:bCs/>
              </w:rPr>
              <w:t xml:space="preserve">Reject H₀</w:t>
            </w:r>
          </w:p>
        </w:tc>
        <w:tc>
          <w:tcPr/>
          <w:p>
            <w:pPr>
              <w:pStyle w:val="Compact"/>
            </w:pPr>
            <w:r>
              <w:t xml:space="preserve">Type I error — rate</w:t>
            </w:r>
            <w:r>
              <w:t xml:space="preserve"> </w:t>
            </w:r>
            <w:r>
              <w:rPr>
                <w:b/>
                <w:bCs/>
              </w:rPr>
              <w:t xml:space="preserve">α</w:t>
            </w:r>
          </w:p>
        </w:tc>
        <w:tc>
          <w:tcPr/>
          <w:p>
            <w:pPr>
              <w:pStyle w:val="Compact"/>
            </w:pPr>
            <w:r>
              <w:t xml:space="preserve">Correct decision</w:t>
            </w:r>
          </w:p>
        </w:tc>
      </w:tr>
      <w:tr>
        <w:tc>
          <w:tcPr/>
          <w:p>
            <w:pPr>
              <w:pStyle w:val="Compact"/>
            </w:pPr>
            <w:r>
              <w:rPr>
                <w:b/>
                <w:bCs/>
              </w:rPr>
              <w:t xml:space="preserve">Fail to reject H₀</w:t>
            </w:r>
          </w:p>
        </w:tc>
        <w:tc>
          <w:tcPr/>
          <w:p>
            <w:pPr>
              <w:pStyle w:val="Compact"/>
            </w:pPr>
            <w:r>
              <w:t xml:space="preserve">Correct decision</w:t>
            </w:r>
          </w:p>
        </w:tc>
        <w:tc>
          <w:tcPr/>
          <w:p>
            <w:pPr>
              <w:pStyle w:val="Compact"/>
            </w:pPr>
            <w:r>
              <w:t xml:space="preserve">Type II error — rate</w:t>
            </w:r>
            <w:r>
              <w:t xml:space="preserve"> </w:t>
            </w:r>
            <w:r>
              <w:rPr>
                <w:b/>
                <w:bCs/>
              </w:rPr>
              <w:t xml:space="preserve">β</w:t>
            </w:r>
          </w:p>
        </w:tc>
      </w:tr>
    </w:tbl>
    <w:p>
      <w:pPr>
        <w:pStyle w:val="Compact"/>
        <w:numPr>
          <w:ilvl w:val="0"/>
          <w:numId w:val="1003"/>
        </w:numPr>
      </w:pPr>
      <w:r>
        <w:rPr>
          <w:b/>
          <w:bCs/>
        </w:rPr>
        <w:t xml:space="preserve">Type I error (α):</w:t>
      </w:r>
      <w:r>
        <w:t xml:space="preserve"> </w:t>
      </w:r>
      <w:r>
        <w:t xml:space="preserve">you found an effect that isn’t real — a false positive</w:t>
      </w:r>
    </w:p>
    <w:p>
      <w:pPr>
        <w:pStyle w:val="Compact"/>
        <w:numPr>
          <w:ilvl w:val="0"/>
          <w:numId w:val="1003"/>
        </w:numPr>
      </w:pPr>
      <w:r>
        <w:rPr>
          <w:b/>
          <w:bCs/>
        </w:rPr>
        <w:t xml:space="preserve">Type II error (β):</w:t>
      </w:r>
      <w:r>
        <w:t xml:space="preserve"> </w:t>
      </w:r>
      <w:r>
        <w:t xml:space="preserve">you missed an effect that is real — a false negative</w:t>
      </w:r>
    </w:p>
    <w:p>
      <w:pPr>
        <w:pStyle w:val="Compact"/>
        <w:numPr>
          <w:ilvl w:val="0"/>
          <w:numId w:val="1003"/>
        </w:numPr>
      </w:pPr>
      <w:r>
        <w:rPr>
          <w:b/>
          <w:bCs/>
        </w:rPr>
        <w:t xml:space="preserve">Power = 1 − β:</w:t>
      </w:r>
      <w:r>
        <w:t xml:space="preserve"> </w:t>
      </w:r>
      <w:r>
        <w:t xml:space="preserve">the probability of correctly rejecting a false H₀</w:t>
      </w:r>
    </w:p>
    <w:p>
      <w:pPr>
        <w:pStyle w:val="Compact"/>
        <w:numPr>
          <w:ilvl w:val="0"/>
          <w:numId w:val="1003"/>
        </w:numPr>
      </w:pPr>
      <w:r>
        <w:t xml:space="preserve">α is set</w:t>
      </w:r>
      <w:r>
        <w:t xml:space="preserve"> </w:t>
      </w:r>
      <w:r>
        <w:rPr>
          <w:b/>
          <w:bCs/>
        </w:rPr>
        <w:t xml:space="preserve">before</w:t>
      </w:r>
      <w:r>
        <w:t xml:space="preserve"> </w:t>
      </w:r>
      <w:r>
        <w:t xml:space="preserve">data collection — it is a policy about acceptable false-positive risk, not something read off a p-value afterward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Positron.app/Contents/Resources/app/quarto/share/formats/docx/note.png" id="2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Reference</w:t>
            </w:r>
          </w:p>
          <w:p>
            <w:pPr>
              <w:pStyle w:val="BodyText"/>
            </w:pPr>
            <w:pPr>
              <w:spacing w:after="16"/>
            </w:pPr>
            <w:r>
              <w:t xml:space="preserve">Gotelli &amp; Ellison,</w:t>
            </w:r>
            <w:r>
              <w:t xml:space="preserve"> </w:t>
            </w:r>
            <w:r>
              <w:rPr>
                <w:i/>
                <w:iCs/>
              </w:rPr>
              <w:t xml:space="preserve">A Primer of Ecological Statistics</w:t>
            </w:r>
            <w:r>
              <w:t xml:space="preserve">, Ch. 4 — Framing and Testing Hypotheses, covers the decision table and both error types. Whitlock &amp; Schluter,</w:t>
            </w:r>
            <w:r>
              <w:t xml:space="preserve"> </w:t>
            </w:r>
            <w:r>
              <w:rPr>
                <w:i/>
                <w:iCs/>
              </w:rPr>
              <w:t xml:space="preserve">Analysis of Biological Data</w:t>
            </w:r>
            <w:r>
              <w:t xml:space="preserve">, Ch. 6 — Hypothesis Testing, is the same material from the other textbook.</w:t>
            </w:r>
          </w:p>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Positron.app/Contents/Resources/app/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Which type of error, if any?</w:t>
            </w:r>
          </w:p>
          <w:p>
            <w:pPr>
              <w:pStyle w:val="Compact"/>
              <w:numPr>
                <w:ilvl w:val="0"/>
                <w:numId w:val="1004"/>
              </w:numPr>
            </w:pPr>
            <w:r>
              <w:t xml:space="preserve">A study concludes sunny-side pine needles are longer, when really there is no difference.</w:t>
            </w:r>
          </w:p>
          <w:p>
            <w:pPr>
              <w:pStyle w:val="Compact"/>
              <w:numPr>
                <w:ilvl w:val="0"/>
                <w:numId w:val="1004"/>
              </w:numPr>
            </w:pPr>
            <w:r>
              <w:t xml:space="preserve">A study fails to detect a real horn-length difference between surviving and predated lizards, and concludes there is none.</w:t>
            </w:r>
          </w:p>
          <w:p>
            <w:pPr>
              <w:pStyle w:val="Compact"/>
              <w:numPr>
                <w:ilvl w:val="0"/>
                <w:numId w:val="1004"/>
              </w:numPr>
            </w:pPr>
            <w:r>
              <w:t xml:space="preserve">A study correctly detects that predated lizards have shorter horns.</w:t>
            </w:r>
          </w:p>
          <w:p/>
        </w:tc>
      </w:tr>
    </w:tbl>
    <w:bookmarkEnd w:id="24"/>
    <w:bookmarkStart w:id="28" w:name="seeing-α-and-β"/>
    <w:p>
      <w:pPr>
        <w:pStyle w:val="Heading2"/>
      </w:pPr>
      <w:r>
        <w:t xml:space="preserve">Seeing α and β</w:t>
      </w:r>
    </w:p>
    <w:p>
      <w:pPr>
        <w:pStyle w:val="Compact"/>
        <w:numPr>
          <w:ilvl w:val="0"/>
          <w:numId w:val="1005"/>
        </w:numPr>
      </w:pPr>
      <w:r>
        <w:rPr>
          <w:b/>
          <w:bCs/>
        </w:rPr>
        <w:t xml:space="preserve">Black curve</w:t>
      </w:r>
      <w:r>
        <w:t xml:space="preserve"> </w:t>
      </w:r>
      <w:r>
        <w:t xml:space="preserve">— distribution of the test statistic</w:t>
      </w:r>
      <w:r>
        <w:t xml:space="preserve"> </w:t>
      </w:r>
      <w:r>
        <w:rPr>
          <w:i/>
          <w:iCs/>
        </w:rPr>
        <w:t xml:space="preserve">if H₀ is true</w:t>
      </w:r>
    </w:p>
    <w:p>
      <w:pPr>
        <w:pStyle w:val="Compact"/>
        <w:numPr>
          <w:ilvl w:val="0"/>
          <w:numId w:val="1005"/>
        </w:numPr>
      </w:pPr>
      <w:r>
        <w:rPr>
          <w:b/>
          <w:bCs/>
        </w:rPr>
        <w:t xml:space="preserve">Green curve</w:t>
      </w:r>
      <w:r>
        <w:t xml:space="preserve"> </w:t>
      </w:r>
      <w:r>
        <w:t xml:space="preserve">— distribution</w:t>
      </w:r>
      <w:r>
        <w:t xml:space="preserve"> </w:t>
      </w:r>
      <w:r>
        <w:rPr>
          <w:i/>
          <w:iCs/>
        </w:rPr>
        <w:t xml:space="preserve">if Hₐ is true</w:t>
      </w:r>
      <w:r>
        <w:t xml:space="preserve">, shifted by an assumed effect size</w:t>
      </w:r>
    </w:p>
    <w:p>
      <w:pPr>
        <w:pStyle w:val="Compact"/>
        <w:numPr>
          <w:ilvl w:val="0"/>
          <w:numId w:val="1005"/>
        </w:numPr>
      </w:pPr>
      <w:r>
        <w:rPr>
          <w:b/>
          <w:bCs/>
        </w:rPr>
        <w:t xml:space="preserve">Red areas (α/2 each)</w:t>
      </w:r>
      <w:r>
        <w:t xml:space="preserve"> </w:t>
      </w:r>
      <w:r>
        <w:t xml:space="preserve">— both tails of the null curve beyond the critical values: Type I error, α total</w:t>
      </w:r>
    </w:p>
    <w:p>
      <w:pPr>
        <w:pStyle w:val="Compact"/>
        <w:numPr>
          <w:ilvl w:val="0"/>
          <w:numId w:val="1005"/>
        </w:numPr>
      </w:pPr>
      <w:r>
        <w:rPr>
          <w:b/>
          <w:bCs/>
        </w:rPr>
        <w:t xml:space="preserve">Blue area (β)</w:t>
      </w:r>
      <w:r>
        <w:t xml:space="preserve"> </w:t>
      </w:r>
      <w:r>
        <w:t xml:space="preserve">— alternative curve between the critical values: Type II error</w:t>
      </w:r>
    </w:p>
    <w:p>
      <w:pPr>
        <w:pStyle w:val="Compact"/>
        <w:numPr>
          <w:ilvl w:val="0"/>
          <w:numId w:val="1005"/>
        </w:numPr>
      </w:pPr>
      <w:r>
        <w:rPr>
          <w:b/>
          <w:bCs/>
        </w:rPr>
        <w:t xml:space="preserve">Power (1 − β)</w:t>
      </w:r>
      <w:r>
        <w:t xml:space="preserve"> </w:t>
      </w:r>
      <w:r>
        <w:t xml:space="preserve">— the rest of the green curve, beyond the critical value</w:t>
      </w:r>
    </w:p>
    <w:p>
      <w:pPr>
        <w:pStyle w:val="FirstParagraph"/>
      </w:pPr>
      <w:r>
        <w:t xml:space="preserve">You live on only</w:t>
      </w:r>
      <w:r>
        <w:t xml:space="preserve"> </w:t>
      </w:r>
      <w:r>
        <w:rPr>
          <w:b/>
          <w:bCs/>
        </w:rPr>
        <w:t xml:space="preserve">one</w:t>
      </w:r>
      <w:r>
        <w:t xml:space="preserve"> </w:t>
      </w:r>
      <w:r>
        <w:t xml:space="preserve">curve — you just don’t know which. α comes from the black curve and β from the green one, so α + β need not equal 1.</w:t>
      </w:r>
    </w:p>
    <w:p>
      <w:pPr>
        <w:pStyle w:val="BodyText"/>
      </w:pPr>
      <w:r>
        <w:t xml:space="preserve">Moving the critical values trades one error for the other. For a fixed sample size,</w:t>
      </w:r>
      <w:r>
        <w:t xml:space="preserve"> </w:t>
      </w:r>
      <w:r>
        <w:rPr>
          <w:b/>
          <w:bCs/>
        </w:rPr>
        <w:t xml:space="preserve">you cannot shrink both at once.</w:t>
      </w:r>
    </w:p>
    <w:p>
      <w:pPr>
        <w:pStyle w:val="BodyText"/>
      </w:pPr>
      <w:r>
        <w:drawing>
          <wp:inline>
            <wp:extent cx="4587290" cy="3119357"/>
            <wp:effectExtent b="0" l="0" r="0" t="0"/>
            <wp:docPr descr="" title="" id="26" name="Picture"/>
            <a:graphic>
              <a:graphicData uri="http://schemas.openxmlformats.org/drawingml/2006/picture">
                <pic:pic>
                  <pic:nvPicPr>
                    <pic:cNvPr descr="power_and_error_lecture_files/figure-docx/power-and-error-01-1.png" id="27" name="Picture"/>
                    <pic:cNvPicPr>
                      <a:picLocks noChangeArrowheads="1" noChangeAspect="1"/>
                    </pic:cNvPicPr>
                  </pic:nvPicPr>
                  <pic:blipFill>
                    <a:blip r:embed="rId25"/>
                    <a:stretch>
                      <a:fillRect/>
                    </a:stretch>
                  </pic:blipFill>
                  <pic:spPr bwMode="auto">
                    <a:xfrm>
                      <a:off x="0" y="0"/>
                      <a:ext cx="4587290" cy="3119357"/>
                    </a:xfrm>
                    <a:prstGeom prst="rect">
                      <a:avLst/>
                    </a:prstGeom>
                    <a:noFill/>
                    <a:ln w="9525">
                      <a:noFill/>
                      <a:headEnd/>
                      <a:tailEnd/>
                    </a:ln>
                  </pic:spPr>
                </pic:pic>
              </a:graphicData>
            </a:graphic>
          </wp:inline>
        </w:drawing>
      </w:r>
    </w:p>
    <w:bookmarkEnd w:id="28"/>
    <w:bookmarkStart w:id="29" w:name="part-2-statistical-power"/>
    <w:p>
      <w:pPr>
        <w:pStyle w:val="Heading2"/>
      </w:pPr>
      <w:r>
        <w:t xml:space="preserve">Part 2 · Statistical Power</w:t>
      </w:r>
    </w:p>
    <w:bookmarkEnd w:id="29"/>
    <w:bookmarkStart w:id="32" w:name="what-is-power-and-what-moves-it"/>
    <w:p>
      <w:pPr>
        <w:pStyle w:val="Heading2"/>
      </w:pPr>
      <w:r>
        <w:t xml:space="preserve">What Is Power, and What Moves It</w:t>
      </w:r>
    </w:p>
    <w:p>
      <w:pPr>
        <w:pStyle w:val="FirstParagraph"/>
      </w:pPr>
      <w:r>
        <w:rPr>
          <w:b/>
          <w:bCs/>
        </w:rPr>
        <w:t xml:space="preserve">Statistical power</w:t>
      </w:r>
      <w:r>
        <w:t xml:space="preserve"> </w:t>
      </w:r>
      <w:r>
        <w:t xml:space="preserve">is the probability of detecting a true effect — of rejecting H₀ when it really is false. 80% power means an 80% chance of finding a real effect of a given size.</w:t>
      </w:r>
    </w:p>
    <w:p>
      <w:pPr>
        <w:pStyle w:val="BodyText"/>
      </w:pPr>
      <w:r>
        <w:t xml:space="preserve">Power increases with:</w:t>
      </w:r>
    </w:p>
    <w:p>
      <w:pPr>
        <w:pStyle w:val="Compact"/>
        <w:numPr>
          <w:ilvl w:val="0"/>
          <w:numId w:val="1006"/>
        </w:numPr>
      </w:pPr>
      <w:r>
        <w:rPr>
          <w:b/>
          <w:bCs/>
        </w:rPr>
        <w:t xml:space="preserve">Larger sample size (n)</w:t>
      </w:r>
    </w:p>
    <w:p>
      <w:pPr>
        <w:pStyle w:val="Compact"/>
        <w:numPr>
          <w:ilvl w:val="0"/>
          <w:numId w:val="1006"/>
        </w:numPr>
      </w:pPr>
      <w:r>
        <w:rPr>
          <w:b/>
          <w:bCs/>
        </w:rPr>
        <w:t xml:space="preserve">Larger effect size</w:t>
      </w:r>
      <w:r>
        <w:t xml:space="preserve"> </w:t>
      </w:r>
      <w:r>
        <w:t xml:space="preserve">— a bigger true difference</w:t>
      </w:r>
    </w:p>
    <w:p>
      <w:pPr>
        <w:pStyle w:val="Compact"/>
        <w:numPr>
          <w:ilvl w:val="0"/>
          <w:numId w:val="1006"/>
        </w:numPr>
      </w:pPr>
      <w:r>
        <w:rPr>
          <w:b/>
          <w:bCs/>
        </w:rPr>
        <w:t xml:space="preserve">Lower variability</w:t>
      </w:r>
      <w:r>
        <w:t xml:space="preserve"> </w:t>
      </w:r>
      <w:r>
        <w:t xml:space="preserve">in the data</w:t>
      </w:r>
    </w:p>
    <w:p>
      <w:pPr>
        <w:pStyle w:val="Compact"/>
        <w:numPr>
          <w:ilvl w:val="0"/>
          <w:numId w:val="1006"/>
        </w:numPr>
      </w:pPr>
      <w:r>
        <w:rPr>
          <w:b/>
          <w:bCs/>
        </w:rPr>
        <w:t xml:space="preserve">Higher α</w:t>
      </w:r>
      <w:r>
        <w:t xml:space="preserve"> </w:t>
      </w:r>
      <w:r>
        <w:t xml:space="preserve">— a more lenient significance threshold</w:t>
      </w:r>
    </w:p>
    <w:p>
      <w:pPr>
        <w:pStyle w:val="FirstParagraph"/>
      </w:pPr>
      <w:r>
        <w:t xml:space="preserve">A power analysis is typically run for one of three purposes:</w:t>
      </w:r>
    </w:p>
    <w:p>
      <w:pPr>
        <w:pStyle w:val="Compact"/>
        <w:numPr>
          <w:ilvl w:val="0"/>
          <w:numId w:val="1007"/>
        </w:numPr>
      </w:pPr>
      <w:r>
        <w:rPr>
          <w:b/>
          <w:bCs/>
        </w:rPr>
        <w:t xml:space="preserve">Before data collection</w:t>
      </w:r>
      <w:r>
        <w:t xml:space="preserve">, to determine the sample size a study needs — by far the most useful</w:t>
      </w:r>
    </w:p>
    <w:p>
      <w:pPr>
        <w:pStyle w:val="Compact"/>
        <w:numPr>
          <w:ilvl w:val="0"/>
          <w:numId w:val="1007"/>
        </w:numPr>
      </w:pPr>
      <w:r>
        <w:rPr>
          <w:b/>
          <w:bCs/>
        </w:rPr>
        <w:t xml:space="preserve">After a study</w:t>
      </w:r>
      <w:r>
        <w:t xml:space="preserve">, to evaluate whether its sample size was adequate</w:t>
      </w:r>
    </w:p>
    <w:p>
      <w:pPr>
        <w:pStyle w:val="Compact"/>
        <w:numPr>
          <w:ilvl w:val="0"/>
          <w:numId w:val="1007"/>
        </w:numPr>
      </w:pPr>
      <w:r>
        <w:t xml:space="preserve">To find the minimum effect size a given sample could realistically detect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Positron.app/Contents/Resources/app/quarto/share/formats/docx/note.png" id="3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rPr>
                <w:b/>
                <w:bCs/>
              </w:rPr>
              <w:t xml:space="preserve">80% power is the usual convention</w:t>
            </w:r>
            <w:r>
              <w:t xml:space="preserve"> </w:t>
            </w:r>
            <w:r>
              <w:t xml:space="preserve">for an adequately powered study. Everything in this lecture asks: for a given effect, n, and α, what is 1 − β?</w:t>
            </w:r>
          </w:p>
          <w:p/>
        </w:tc>
      </w:tr>
    </w:tbl>
    <w:bookmarkEnd w:id="32"/>
    <w:bookmarkStart w:id="33" w:name="part-3-effect-size-recap"/>
    <w:p>
      <w:pPr>
        <w:pStyle w:val="Heading2"/>
      </w:pPr>
      <w:r>
        <w:t xml:space="preserve">Part 3 · Effect Size, Recap</w:t>
      </w:r>
    </w:p>
    <w:bookmarkEnd w:id="33"/>
    <w:bookmarkStart w:id="36" w:name="cohens-d-and-cohens-own-benchmarks"/>
    <w:p>
      <w:pPr>
        <w:pStyle w:val="Heading2"/>
      </w:pPr>
      <w:r>
        <w:t xml:space="preserve">Cohen’s d, and Cohen’s Own Benchmarks</w:t>
      </w:r>
    </w:p>
    <w:p>
      <w:pPr>
        <w:pStyle w:val="FirstParagraph"/>
      </w:pPr>
      <w:r>
        <w:t xml:space="preserve">You met</w:t>
      </w:r>
      <w:r>
        <w:t xml:space="preserve"> </w:t>
      </w:r>
      <w:r>
        <w:rPr>
          <w:b/>
          <w:bCs/>
        </w:rPr>
        <w:t xml:space="preserve">Cohen’s d</w:t>
      </w:r>
      <w:r>
        <w:t xml:space="preserve"> </w:t>
      </w:r>
      <w:r>
        <w:t xml:space="preserve">in the Non-Parametric worksheet: the difference between means, divided by the pooled standard deviation. It is unitless, so it is comparable across studies — and it is exactly what</w:t>
      </w:r>
      <w:r>
        <w:t xml:space="preserve"> </w:t>
      </w:r>
      <w:r>
        <w:rPr>
          <w:rStyle w:val="VerbatimChar"/>
        </w:rPr>
        <w:t xml:space="preserve">pwr</w:t>
      </w:r>
      <w:r>
        <w:t xml:space="preserve"> </w:t>
      </w:r>
      <w:r>
        <w:t xml:space="preserve">and</w:t>
      </w:r>
      <w:r>
        <w:t xml:space="preserve"> </w:t>
      </w:r>
      <w:r>
        <w:rPr>
          <w:rStyle w:val="VerbatimChar"/>
        </w:rPr>
        <w:t xml:space="preserve">power.t.test()</w:t>
      </w:r>
      <w:r>
        <w:t xml:space="preserve">-style functions want as input.</w:t>
      </w:r>
    </w:p>
    <w:p>
      <w:pPr>
        <w:pStyle w:val="SourceCode"/>
      </w:pPr>
      <w:r>
        <w:rPr>
          <w:rStyle w:val="FunctionTok"/>
        </w:rPr>
        <w:t xml:space="preserve">cohen.ES</w:t>
      </w:r>
      <w:r>
        <w:rPr>
          <w:rStyle w:val="NormalTok"/>
        </w:rPr>
        <w:t xml:space="preserve">(</w:t>
      </w:r>
      <w:r>
        <w:rPr>
          <w:rStyle w:val="AttributeTok"/>
        </w:rPr>
        <w:t xml:space="preserve">test =</w:t>
      </w:r>
      <w:r>
        <w:rPr>
          <w:rStyle w:val="NormalTok"/>
        </w:rPr>
        <w:t xml:space="preserve"> </w:t>
      </w:r>
      <w:r>
        <w:rPr>
          <w:rStyle w:val="StringTok"/>
        </w:rPr>
        <w:t xml:space="preserve">"t"</w:t>
      </w:r>
      <w:r>
        <w:rPr>
          <w:rStyle w:val="NormalTok"/>
        </w:rPr>
        <w:t xml:space="preserve">, </w:t>
      </w:r>
      <w:r>
        <w:rPr>
          <w:rStyle w:val="AttributeTok"/>
        </w:rPr>
        <w:t xml:space="preserve">size =</w:t>
      </w:r>
      <w:r>
        <w:rPr>
          <w:rStyle w:val="NormalTok"/>
        </w:rPr>
        <w:t xml:space="preserve"> </w:t>
      </w:r>
      <w:r>
        <w:rPr>
          <w:rStyle w:val="StringTok"/>
        </w:rPr>
        <w:t xml:space="preserve">"small"</w:t>
      </w:r>
      <w:r>
        <w:rPr>
          <w:rStyle w:val="NormalTok"/>
        </w:rPr>
        <w:t xml:space="preserve">)</w:t>
      </w:r>
      <w:r>
        <w:rPr>
          <w:rStyle w:val="SpecialCharTok"/>
        </w:rPr>
        <w:t xml:space="preserve">$</w:t>
      </w:r>
      <w:r>
        <w:rPr>
          <w:rStyle w:val="NormalTok"/>
        </w:rPr>
        <w:t xml:space="preserve">effect.size</w:t>
      </w:r>
    </w:p>
    <w:p>
      <w:pPr>
        <w:pStyle w:val="SourceCode"/>
      </w:pPr>
      <w:r>
        <w:rPr>
          <w:rStyle w:val="VerbatimChar"/>
        </w:rPr>
        <w:t xml:space="preserve">[1] 0.2</w:t>
      </w:r>
    </w:p>
    <w:p>
      <w:pPr>
        <w:pStyle w:val="SourceCode"/>
      </w:pPr>
      <w:r>
        <w:rPr>
          <w:rStyle w:val="FunctionTok"/>
        </w:rPr>
        <w:t xml:space="preserve">cohen.ES</w:t>
      </w:r>
      <w:r>
        <w:rPr>
          <w:rStyle w:val="NormalTok"/>
        </w:rPr>
        <w:t xml:space="preserve">(</w:t>
      </w:r>
      <w:r>
        <w:rPr>
          <w:rStyle w:val="AttributeTok"/>
        </w:rPr>
        <w:t xml:space="preserve">test =</w:t>
      </w:r>
      <w:r>
        <w:rPr>
          <w:rStyle w:val="NormalTok"/>
        </w:rPr>
        <w:t xml:space="preserve"> </w:t>
      </w:r>
      <w:r>
        <w:rPr>
          <w:rStyle w:val="StringTok"/>
        </w:rPr>
        <w:t xml:space="preserve">"t"</w:t>
      </w:r>
      <w:r>
        <w:rPr>
          <w:rStyle w:val="NormalTok"/>
        </w:rPr>
        <w:t xml:space="preserve">, </w:t>
      </w:r>
      <w:r>
        <w:rPr>
          <w:rStyle w:val="AttributeTok"/>
        </w:rPr>
        <w:t xml:space="preserve">size =</w:t>
      </w:r>
      <w:r>
        <w:rPr>
          <w:rStyle w:val="NormalTok"/>
        </w:rPr>
        <w:t xml:space="preserve"> </w:t>
      </w:r>
      <w:r>
        <w:rPr>
          <w:rStyle w:val="StringTok"/>
        </w:rPr>
        <w:t xml:space="preserve">"medium"</w:t>
      </w:r>
      <w:r>
        <w:rPr>
          <w:rStyle w:val="NormalTok"/>
        </w:rPr>
        <w:t xml:space="preserve">)</w:t>
      </w:r>
      <w:r>
        <w:rPr>
          <w:rStyle w:val="SpecialCharTok"/>
        </w:rPr>
        <w:t xml:space="preserve">$</w:t>
      </w:r>
      <w:r>
        <w:rPr>
          <w:rStyle w:val="NormalTok"/>
        </w:rPr>
        <w:t xml:space="preserve">effect.size</w:t>
      </w:r>
    </w:p>
    <w:p>
      <w:pPr>
        <w:pStyle w:val="SourceCode"/>
      </w:pPr>
      <w:r>
        <w:rPr>
          <w:rStyle w:val="VerbatimChar"/>
        </w:rPr>
        <w:t xml:space="preserve">[1] 0.5</w:t>
      </w:r>
    </w:p>
    <w:p>
      <w:pPr>
        <w:pStyle w:val="SourceCode"/>
      </w:pPr>
      <w:r>
        <w:rPr>
          <w:rStyle w:val="FunctionTok"/>
        </w:rPr>
        <w:t xml:space="preserve">cohen.ES</w:t>
      </w:r>
      <w:r>
        <w:rPr>
          <w:rStyle w:val="NormalTok"/>
        </w:rPr>
        <w:t xml:space="preserve">(</w:t>
      </w:r>
      <w:r>
        <w:rPr>
          <w:rStyle w:val="AttributeTok"/>
        </w:rPr>
        <w:t xml:space="preserve">test =</w:t>
      </w:r>
      <w:r>
        <w:rPr>
          <w:rStyle w:val="NormalTok"/>
        </w:rPr>
        <w:t xml:space="preserve"> </w:t>
      </w:r>
      <w:r>
        <w:rPr>
          <w:rStyle w:val="StringTok"/>
        </w:rPr>
        <w:t xml:space="preserve">"t"</w:t>
      </w:r>
      <w:r>
        <w:rPr>
          <w:rStyle w:val="NormalTok"/>
        </w:rPr>
        <w:t xml:space="preserve">, </w:t>
      </w:r>
      <w:r>
        <w:rPr>
          <w:rStyle w:val="AttributeTok"/>
        </w:rPr>
        <w:t xml:space="preserve">size =</w:t>
      </w:r>
      <w:r>
        <w:rPr>
          <w:rStyle w:val="NormalTok"/>
        </w:rPr>
        <w:t xml:space="preserve"> </w:t>
      </w:r>
      <w:r>
        <w:rPr>
          <w:rStyle w:val="StringTok"/>
        </w:rPr>
        <w:t xml:space="preserve">"large"</w:t>
      </w:r>
      <w:r>
        <w:rPr>
          <w:rStyle w:val="NormalTok"/>
        </w:rPr>
        <w:t xml:space="preserve">)</w:t>
      </w:r>
      <w:r>
        <w:rPr>
          <w:rStyle w:val="SpecialCharTok"/>
        </w:rPr>
        <w:t xml:space="preserve">$</w:t>
      </w:r>
      <w:r>
        <w:rPr>
          <w:rStyle w:val="NormalTok"/>
        </w:rPr>
        <w:t xml:space="preserve">effect.size</w:t>
      </w:r>
    </w:p>
    <w:p>
      <w:pPr>
        <w:pStyle w:val="SourceCode"/>
      </w:pPr>
      <w:r>
        <w:rPr>
          <w:rStyle w:val="VerbatimChar"/>
        </w:rPr>
        <w:t xml:space="preserve">[1] 0.8</w:t>
      </w:r>
    </w:p>
    <w:p>
      <w:pPr>
        <w:pStyle w:val="FirstParagraph"/>
      </w:pPr>
      <w:r>
        <w:t xml:space="preserve">Jacob Cohen himself proposed these as rough, field-general benchmarks — not a substitute for a real pilot estimate when you have 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Size</w:t>
            </w:r>
          </w:p>
        </w:tc>
        <w:tc>
          <w:tcPr/>
          <w:p>
            <w:pPr>
              <w:pStyle w:val="Compact"/>
            </w:pPr>
            <w:r>
              <w:t xml:space="preserve">d</w:t>
            </w:r>
          </w:p>
        </w:tc>
      </w:tr>
      <w:tr>
        <w:tc>
          <w:tcPr/>
          <w:p>
            <w:pPr>
              <w:pStyle w:val="Compact"/>
            </w:pPr>
            <w:r>
              <w:t xml:space="preserve">Small</w:t>
            </w:r>
          </w:p>
        </w:tc>
        <w:tc>
          <w:tcPr/>
          <w:p>
            <w:pPr>
              <w:pStyle w:val="Compact"/>
            </w:pPr>
            <w:r>
              <w:t xml:space="preserve">0.2</w:t>
            </w:r>
          </w:p>
        </w:tc>
      </w:tr>
      <w:tr>
        <w:tc>
          <w:tcPr/>
          <w:p>
            <w:pPr>
              <w:pStyle w:val="Compact"/>
            </w:pPr>
            <w:r>
              <w:t xml:space="preserve">Medium</w:t>
            </w:r>
          </w:p>
        </w:tc>
        <w:tc>
          <w:tcPr/>
          <w:p>
            <w:pPr>
              <w:pStyle w:val="Compact"/>
            </w:pPr>
            <w:r>
              <w:t xml:space="preserve">0.5</w:t>
            </w:r>
          </w:p>
        </w:tc>
      </w:tr>
      <w:tr>
        <w:tc>
          <w:tcPr/>
          <w:p>
            <w:pPr>
              <w:pStyle w:val="Compact"/>
            </w:pPr>
            <w:r>
              <w:t xml:space="preserve">Large</w:t>
            </w:r>
          </w:p>
        </w:tc>
        <w:tc>
          <w:tcPr/>
          <w:p>
            <w:pPr>
              <w:pStyle w:val="Compact"/>
            </w:pPr>
            <w:r>
              <w:t xml:space="preserve">0.8</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Positron.app/Contents/Resources/app/quarto/share/formats/docx/tip.png" id="3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Where does our data land?</w:t>
            </w:r>
          </w:p>
          <w:p>
            <w:pPr>
              <w:pStyle w:val="BodyText"/>
            </w:pPr>
            <w:pPr>
              <w:spacing w:after="16"/>
            </w:pPr>
            <w:r>
              <w:t xml:space="preserve">Keep these three numbers in mind — the next section computes real d’s for two datasets, and you can judge for yourself which bucket each falls into.</w:t>
            </w:r>
          </w:p>
          <w:p/>
        </w:tc>
      </w:tr>
    </w:tbl>
    <w:bookmarkEnd w:id="36"/>
    <w:bookmarkStart w:id="37" w:name="part-4-seeing-power-two-real-datasets"/>
    <w:p>
      <w:pPr>
        <w:pStyle w:val="Heading2"/>
      </w:pPr>
      <w:r>
        <w:t xml:space="preserve">Part 4 · Seeing Power: Two Real Datasets</w:t>
      </w:r>
    </w:p>
    <w:bookmarkEnd w:id="37"/>
    <w:bookmarkStart w:id="41" w:name="low-power-and-high-power-side-by-side"/>
    <w:p>
      <w:pPr>
        <w:pStyle w:val="Heading2"/>
      </w:pPr>
      <w:r>
        <w:t xml:space="preserve">Low Power and High Power, Side by Side</w:t>
      </w:r>
    </w:p>
    <w:p>
      <w:pPr>
        <w:pStyle w:val="FirstParagraph"/>
      </w:pPr>
      <w:r>
        <w:t xml:space="preserve">Two two-sample comparisons, two very different amounts of power:</w:t>
      </w:r>
    </w:p>
    <w:p>
      <w:pPr>
        <w:pStyle w:val="Compact"/>
        <w:numPr>
          <w:ilvl w:val="0"/>
          <w:numId w:val="1008"/>
        </w:numPr>
      </w:pPr>
      <w:r>
        <w:rPr>
          <w:b/>
          <w:bCs/>
        </w:rPr>
        <w:t xml:space="preserve">Pine needles</w:t>
      </w:r>
      <w:r>
        <w:t xml:space="preserve"> </w:t>
      </w:r>
      <w:r>
        <w:t xml:space="preserve">— our own class data, 4 trees per side</w:t>
      </w:r>
    </w:p>
    <w:p>
      <w:pPr>
        <w:pStyle w:val="Compact"/>
        <w:numPr>
          <w:ilvl w:val="0"/>
          <w:numId w:val="1008"/>
        </w:numPr>
      </w:pPr>
      <w:r>
        <w:rPr>
          <w:b/>
          <w:bCs/>
        </w:rPr>
        <w:t xml:space="preserve">Horned lizards</w:t>
      </w:r>
      <w:r>
        <w:t xml:space="preserve"> </w:t>
      </w:r>
      <w:r>
        <w:t xml:space="preserve">— squamosal horn length of lizards that survived shrike predation vs. those that were killed (Young et al., the running example of Whitlock &amp; Schluter Ch. 12 — Comparing Two Means)</w:t>
      </w:r>
    </w:p>
    <w:p>
      <w:pPr>
        <w:pStyle w:val="SourceCode"/>
      </w:pPr>
      <w:r>
        <w:rPr>
          <w:rStyle w:val="NormalTok"/>
        </w:rPr>
        <w:t xml:space="preserve">pine_df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"data/pine_data.csv"</w:t>
      </w:r>
      <w:r>
        <w:rPr>
          <w:rStyle w:val="NormalTok"/>
        </w:rPr>
        <w:t xml:space="preserve">)</w:t>
      </w:r>
      <w:r>
        <w:br/>
      </w:r>
      <w:r>
        <w:br/>
      </w:r>
      <w:r>
        <w:rPr>
          <w:rStyle w:val="NormalTok"/>
        </w:rPr>
        <w:t xml:space="preserve">p_df </w:t>
      </w:r>
      <w:r>
        <w:rPr>
          <w:rStyle w:val="OtherTok"/>
        </w:rPr>
        <w:t xml:space="preserve">&lt;-</w:t>
      </w:r>
      <w:r>
        <w:rPr>
          <w:rStyle w:val="NormalTok"/>
        </w:rPr>
        <w:t xml:space="preserve"> pine_df </w:t>
      </w:r>
      <w:r>
        <w:rPr>
          <w:rStyle w:val="SpecialCharTok"/>
        </w:rPr>
        <w:t xml:space="preserve">%&gt;%</w:t>
      </w:r>
      <w:r>
        <w:br/>
      </w:r>
      <w:r>
        <w:rPr>
          <w:rStyle w:val="NormalTok"/>
        </w:rPr>
        <w:t xml:space="preserve">  </w:t>
      </w:r>
      <w:r>
        <w:rPr>
          <w:rStyle w:val="FunctionTok"/>
        </w:rPr>
        <w:t xml:space="preserve">group_by</w:t>
      </w:r>
      <w:r>
        <w:rPr>
          <w:rStyle w:val="NormalTok"/>
        </w:rPr>
        <w:t xml:space="preserve">(team, side)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needle_length_mm =</w:t>
      </w:r>
      <w:r>
        <w:rPr>
          <w:rStyle w:val="NormalTok"/>
        </w:rPr>
        <w:t xml:space="preserve"> </w:t>
      </w:r>
      <w:r>
        <w:rPr>
          <w:rStyle w:val="FunctionTok"/>
        </w:rPr>
        <w:t xml:space="preserve">mean</w:t>
      </w:r>
      <w:r>
        <w:rPr>
          <w:rStyle w:val="NormalTok"/>
        </w:rPr>
        <w:t xml:space="preserve">(needle_length_mm,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lizard_df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"data/horned_lizards.csv"</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(squamosal_horn_length_mm))</w:t>
      </w:r>
      <w:r>
        <w:br/>
      </w:r>
      <w:r>
        <w:br/>
      </w:r>
      <w:r>
        <w:rPr>
          <w:rStyle w:val="NormalTok"/>
        </w:rPr>
        <w:t xml:space="preserve">p_df </w:t>
      </w:r>
      <w:r>
        <w:rPr>
          <w:rStyle w:val="SpecialCharTok"/>
        </w:rPr>
        <w:t xml:space="preserve">%&gt;%</w:t>
      </w:r>
      <w:r>
        <w:rPr>
          <w:rStyle w:val="NormalTok"/>
        </w:rPr>
        <w:t xml:space="preserve"> </w:t>
      </w:r>
      <w:r>
        <w:rPr>
          <w:rStyle w:val="FunctionTok"/>
        </w:rPr>
        <w:t xml:space="preserve">group_by</w:t>
      </w:r>
      <w:r>
        <w:rPr>
          <w:rStyle w:val="NormalTok"/>
        </w:rPr>
        <w:t xml:space="preserve">(side)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summary_stats</w:t>
      </w:r>
      <w:r>
        <w:rPr>
          <w:rStyle w:val="NormalTok"/>
        </w:rPr>
        <w:t xml:space="preserve">(needle_length_mm))</w:t>
      </w:r>
    </w:p>
    <w:p>
      <w:pPr>
        <w:pStyle w:val="SourceCode"/>
      </w:pPr>
      <w:r>
        <w:rPr>
          <w:rStyle w:val="VerbatimChar"/>
        </w:rPr>
        <w:t xml:space="preserve"># A tibble: 2 × 7</w:t>
      </w:r>
      <w:r>
        <w:br/>
      </w:r>
      <w:r>
        <w:rPr>
          <w:rStyle w:val="VerbatimChar"/>
        </w:rPr>
        <w:t xml:space="preserve">  side      n  mean    sd    se ci_lower ci_upper</w:t>
      </w:r>
      <w:r>
        <w:br/>
      </w:r>
      <w:r>
        <w:rPr>
          <w:rStyle w:val="VerbatimChar"/>
        </w:rPr>
        <w:t xml:space="preserve">  &lt;chr&gt; &lt;int&gt; &lt;dbl&gt; &lt;dbl&gt; &lt;dbl&gt;    &lt;dbl&gt;    &lt;dbl&gt;</w:t>
      </w:r>
      <w:r>
        <w:br/>
      </w:r>
      <w:r>
        <w:rPr>
          <w:rStyle w:val="VerbatimChar"/>
        </w:rPr>
        <w:t xml:space="preserve">1 shady     4  14.1  2.02 1.01      10.9     17.3</w:t>
      </w:r>
      <w:r>
        <w:br/>
      </w:r>
      <w:r>
        <w:rPr>
          <w:rStyle w:val="VerbatimChar"/>
        </w:rPr>
        <w:t xml:space="preserve">2 sunny     4  15.2  1.57 0.786     12.7     17.7</w:t>
      </w:r>
    </w:p>
    <w:p>
      <w:pPr>
        <w:pStyle w:val="SourceCode"/>
      </w:pPr>
      <w:r>
        <w:rPr>
          <w:rStyle w:val="NormalTok"/>
        </w:rPr>
        <w:t xml:space="preserve">lizard_df </w:t>
      </w:r>
      <w:r>
        <w:rPr>
          <w:rStyle w:val="SpecialCharTok"/>
        </w:rPr>
        <w:t xml:space="preserve">%&gt;%</w:t>
      </w:r>
      <w:r>
        <w:br/>
      </w:r>
      <w:r>
        <w:rPr>
          <w:rStyle w:val="NormalTok"/>
        </w:rPr>
        <w:t xml:space="preserve">  </w:t>
      </w:r>
      <w:r>
        <w:rPr>
          <w:rStyle w:val="FunctionTok"/>
        </w:rPr>
        <w:t xml:space="preserve">group_by</w:t>
      </w:r>
      <w:r>
        <w:rPr>
          <w:rStyle w:val="NormalTok"/>
        </w:rPr>
        <w:t xml:space="preserve">(survival) </w:t>
      </w:r>
      <w:r>
        <w:rPr>
          <w:rStyle w:val="SpecialCharTok"/>
        </w:rPr>
        <w:t xml:space="preserve">%&gt;%</w:t>
      </w:r>
      <w:r>
        <w:br/>
      </w:r>
      <w:r>
        <w:rPr>
          <w:rStyle w:val="NormalTok"/>
        </w:rPr>
        <w:t xml:space="preserve">  </w:t>
      </w:r>
      <w:r>
        <w:rPr>
          <w:rStyle w:val="FunctionTok"/>
        </w:rPr>
        <w:t xml:space="preserve">reframe</w:t>
      </w:r>
      <w:r>
        <w:rPr>
          <w:rStyle w:val="NormalTok"/>
        </w:rPr>
        <w:t xml:space="preserve">(</w:t>
      </w:r>
      <w:r>
        <w:rPr>
          <w:rStyle w:val="FunctionTok"/>
        </w:rPr>
        <w:t xml:space="preserve">summary_stats</w:t>
      </w:r>
      <w:r>
        <w:rPr>
          <w:rStyle w:val="NormalTok"/>
        </w:rPr>
        <w:t xml:space="preserve">(squamosal_horn_length_mm))</w:t>
      </w:r>
    </w:p>
    <w:p>
      <w:pPr>
        <w:pStyle w:val="SourceCode"/>
      </w:pPr>
      <w:r>
        <w:rPr>
          <w:rStyle w:val="VerbatimChar"/>
        </w:rPr>
        <w:t xml:space="preserve"># A tibble: 2 × 7</w:t>
      </w:r>
      <w:r>
        <w:br/>
      </w:r>
      <w:r>
        <w:rPr>
          <w:rStyle w:val="VerbatimChar"/>
        </w:rPr>
        <w:t xml:space="preserve">  survival     n  mean    sd    se ci_lower ci_upper</w:t>
      </w:r>
      <w:r>
        <w:br/>
      </w:r>
      <w:r>
        <w:rPr>
          <w:rStyle w:val="VerbatimChar"/>
        </w:rPr>
        <w:t xml:space="preserve">  &lt;chr&gt;    &lt;int&gt; &lt;dbl&gt; &lt;dbl&gt; &lt;dbl&gt;    &lt;dbl&gt;    &lt;dbl&gt;</w:t>
      </w:r>
      <w:r>
        <w:br/>
      </w:r>
      <w:r>
        <w:rPr>
          <w:rStyle w:val="VerbatimChar"/>
        </w:rPr>
        <w:t xml:space="preserve">1 killed      30  22.0  2.71 0.495     21.0     23.0</w:t>
      </w:r>
      <w:r>
        <w:br/>
      </w:r>
      <w:r>
        <w:rPr>
          <w:rStyle w:val="VerbatimChar"/>
        </w:rPr>
        <w:t xml:space="preserve">2 living     154  24.3  2.63 0.212     23.9     24.7</w:t>
      </w:r>
    </w:p>
    <w:p>
      <w:pPr>
        <w:pStyle w:val="FirstParagraph"/>
      </w:pPr>
      <w:hyperlink r:id="rId38">
        <w:r>
          <w:rPr>
            <w:rStyle w:val="Hyperlink"/>
          </w:rPr>
          <w:t xml:space="preserve">📥 Download the pine data</w:t>
        </w:r>
      </w:hyperlink>
      <w:r>
        <w:t xml:space="preserve"> </w:t>
      </w:r>
      <w:hyperlink r:id="rId39">
        <w:r>
          <w:rPr>
            <w:rStyle w:val="Hyperlink"/>
          </w:rPr>
          <w:t xml:space="preserve">📥 Download the lizard data</w:t>
        </w:r>
      </w:hyperlink>
      <w:r>
        <w:t xml:space="preserve"> </w:t>
      </w:r>
      <w:hyperlink r:id="rId40">
        <w:r>
          <w:rPr>
            <w:rStyle w:val="Hyperlink"/>
          </w:rPr>
          <w:t xml:space="preserve">📥 Script skeleton (.R)</w:t>
        </w:r>
      </w:hyperlink>
    </w:p>
    <w:p>
      <w:pPr>
        <w:pStyle w:val="SourceCode"/>
      </w:pPr>
      <w:r>
        <w:rPr>
          <w:rStyle w:val="NormalTok"/>
        </w:rPr>
        <w:t xml:space="preserve">d_unpaired </w:t>
      </w:r>
      <w:r>
        <w:rPr>
          <w:rStyle w:val="OtherTok"/>
        </w:rPr>
        <w:t xml:space="preserve">&lt;-</w:t>
      </w:r>
      <w:r>
        <w:rPr>
          <w:rStyle w:val="NormalTok"/>
        </w:rPr>
        <w:t xml:space="preserve"> </w:t>
      </w:r>
      <w:r>
        <w:rPr>
          <w:rStyle w:val="FunctionTok"/>
        </w:rPr>
        <w:t xml:space="preserve">cohens_d</w:t>
      </w:r>
      <w:r>
        <w:rPr>
          <w:rStyle w:val="NormalTok"/>
        </w:rPr>
        <w:t xml:space="preserve">(needle_length_mm </w:t>
      </w:r>
      <w:r>
        <w:rPr>
          <w:rStyle w:val="SpecialCharTok"/>
        </w:rPr>
        <w:t xml:space="preserve">~</w:t>
      </w:r>
      <w:r>
        <w:rPr>
          <w:rStyle w:val="NormalTok"/>
        </w:rPr>
        <w:t xml:space="preserve"> side, </w:t>
      </w:r>
      <w:r>
        <w:rPr>
          <w:rStyle w:val="AttributeTok"/>
        </w:rPr>
        <w:t xml:space="preserve">data =</w:t>
      </w:r>
      <w:r>
        <w:rPr>
          <w:rStyle w:val="NormalTok"/>
        </w:rPr>
        <w:t xml:space="preserve"> p_df)</w:t>
      </w:r>
      <w:r>
        <w:br/>
      </w:r>
      <w:r>
        <w:rPr>
          <w:rStyle w:val="NormalTok"/>
        </w:rPr>
        <w:t xml:space="preserve">d_unpaired</w:t>
      </w:r>
    </w:p>
    <w:p>
      <w:pPr>
        <w:pStyle w:val="SourceCode"/>
      </w:pPr>
      <w:r>
        <w:rPr>
          <w:rStyle w:val="VerbatimChar"/>
        </w:rPr>
        <w:t xml:space="preserve">Cohen's d |        95% CI</w:t>
      </w:r>
      <w:r>
        <w:br/>
      </w:r>
      <w:r>
        <w:rPr>
          <w:rStyle w:val="VerbatimChar"/>
        </w:rPr>
        <w:t xml:space="preserve">-------------------------</w:t>
      </w:r>
      <w:r>
        <w:br/>
      </w:r>
      <w:r>
        <w:rPr>
          <w:rStyle w:val="VerbatimChar"/>
        </w:rPr>
        <w:t xml:space="preserve">-0.60     | [-2.01, 0.84]</w:t>
      </w:r>
      <w:r>
        <w:br/>
      </w:r>
      <w:r>
        <w:br/>
      </w:r>
      <w:r>
        <w:rPr>
          <w:rStyle w:val="VerbatimChar"/>
        </w:rPr>
        <w:t xml:space="preserve">- Estimated using pooled SD.</w:t>
      </w:r>
    </w:p>
    <w:p>
      <w:pPr>
        <w:pStyle w:val="SourceCode"/>
      </w:pPr>
      <w:r>
        <w:rPr>
          <w:rStyle w:val="NormalTok"/>
        </w:rPr>
        <w:t xml:space="preserve">p_wide_df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side, </w:t>
      </w:r>
      <w:r>
        <w:rPr>
          <w:rStyle w:val="AttributeTok"/>
        </w:rPr>
        <w:t xml:space="preserve">values_from =</w:t>
      </w:r>
      <w:r>
        <w:rPr>
          <w:rStyle w:val="NormalTok"/>
        </w:rPr>
        <w:t xml:space="preserve"> needle_length_mm)</w:t>
      </w:r>
      <w:r>
        <w:br/>
      </w:r>
      <w:r>
        <w:rPr>
          <w:rStyle w:val="NormalTok"/>
        </w:rPr>
        <w:t xml:space="preserve">d_paired </w:t>
      </w:r>
      <w:r>
        <w:rPr>
          <w:rStyle w:val="OtherTok"/>
        </w:rPr>
        <w:t xml:space="preserve">&lt;-</w:t>
      </w:r>
      <w:r>
        <w:rPr>
          <w:rStyle w:val="NormalTok"/>
        </w:rPr>
        <w:t xml:space="preserve"> </w:t>
      </w:r>
      <w:r>
        <w:rPr>
          <w:rStyle w:val="FunctionTok"/>
        </w:rPr>
        <w:t xml:space="preserve">cohens_d</w:t>
      </w:r>
      <w:r>
        <w:rPr>
          <w:rStyle w:val="NormalTok"/>
        </w:rPr>
        <w:t xml:space="preserve">(p_wide_df</w:t>
      </w:r>
      <w:r>
        <w:rPr>
          <w:rStyle w:val="SpecialCharTok"/>
        </w:rPr>
        <w:t xml:space="preserve">$</w:t>
      </w:r>
      <w:r>
        <w:rPr>
          <w:rStyle w:val="NormalTok"/>
        </w:rPr>
        <w:t xml:space="preserve">shady, p_wide_df</w:t>
      </w:r>
      <w:r>
        <w:rPr>
          <w:rStyle w:val="SpecialCharTok"/>
        </w:rPr>
        <w:t xml:space="preserve">$</w:t>
      </w:r>
      <w:r>
        <w:rPr>
          <w:rStyle w:val="NormalTok"/>
        </w:rPr>
        <w:t xml:space="preserve">sunny,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d_paired</w:t>
      </w:r>
    </w:p>
    <w:p>
      <w:pPr>
        <w:pStyle w:val="SourceCode"/>
      </w:pPr>
      <w:r>
        <w:rPr>
          <w:rStyle w:val="VerbatimChar"/>
        </w:rPr>
        <w:t xml:space="preserve">Cohen's d |        95% CI</w:t>
      </w:r>
      <w:r>
        <w:br/>
      </w:r>
      <w:r>
        <w:rPr>
          <w:rStyle w:val="VerbatimChar"/>
        </w:rPr>
        <w:t xml:space="preserve">-------------------------</w:t>
      </w:r>
      <w:r>
        <w:br/>
      </w:r>
      <w:r>
        <w:rPr>
          <w:rStyle w:val="VerbatimChar"/>
        </w:rPr>
        <w:t xml:space="preserve">-1.36     | [-2.74, 0.10]</w:t>
      </w:r>
    </w:p>
    <w:p>
      <w:pPr>
        <w:pStyle w:val="SourceCode"/>
      </w:pPr>
      <w:r>
        <w:rPr>
          <w:rStyle w:val="NormalTok"/>
        </w:rPr>
        <w:t xml:space="preserve">d_lizard </w:t>
      </w:r>
      <w:r>
        <w:rPr>
          <w:rStyle w:val="OtherTok"/>
        </w:rPr>
        <w:t xml:space="preserve">&lt;-</w:t>
      </w:r>
      <w:r>
        <w:rPr>
          <w:rStyle w:val="NormalTok"/>
        </w:rPr>
        <w:t xml:space="preserve"> </w:t>
      </w:r>
      <w:r>
        <w:rPr>
          <w:rStyle w:val="FunctionTok"/>
        </w:rPr>
        <w:t xml:space="preserve">cohens_d</w:t>
      </w:r>
      <w:r>
        <w:rPr>
          <w:rStyle w:val="NormalTok"/>
        </w:rPr>
        <w:t xml:space="preserve">(squamosal_horn_length_mm </w:t>
      </w:r>
      <w:r>
        <w:rPr>
          <w:rStyle w:val="SpecialCharTok"/>
        </w:rPr>
        <w:t xml:space="preserve">~</w:t>
      </w:r>
      <w:r>
        <w:rPr>
          <w:rStyle w:val="NormalTok"/>
        </w:rPr>
        <w:t xml:space="preserve"> survival, </w:t>
      </w:r>
      <w:r>
        <w:rPr>
          <w:rStyle w:val="AttributeTok"/>
        </w:rPr>
        <w:t xml:space="preserve">data =</w:t>
      </w:r>
      <w:r>
        <w:rPr>
          <w:rStyle w:val="NormalTok"/>
        </w:rPr>
        <w:t xml:space="preserve"> lizard_df)</w:t>
      </w:r>
      <w:r>
        <w:br/>
      </w:r>
      <w:r>
        <w:rPr>
          <w:rStyle w:val="NormalTok"/>
        </w:rPr>
        <w:t xml:space="preserve">d_lizard</w:t>
      </w:r>
    </w:p>
    <w:p>
      <w:pPr>
        <w:pStyle w:val="SourceCode"/>
      </w:pPr>
      <w:r>
        <w:rPr>
          <w:rStyle w:val="VerbatimChar"/>
        </w:rPr>
        <w:t xml:space="preserve">Cohen's d |         95% CI</w:t>
      </w:r>
      <w:r>
        <w:br/>
      </w:r>
      <w:r>
        <w:rPr>
          <w:rStyle w:val="VerbatimChar"/>
        </w:rPr>
        <w:t xml:space="preserve">--------------------------</w:t>
      </w:r>
      <w:r>
        <w:br/>
      </w:r>
      <w:r>
        <w:rPr>
          <w:rStyle w:val="VerbatimChar"/>
        </w:rPr>
        <w:t xml:space="preserve">-0.87     | [-1.27, -0.47]</w:t>
      </w:r>
      <w:r>
        <w:br/>
      </w:r>
      <w:r>
        <w:br/>
      </w:r>
      <w:r>
        <w:rPr>
          <w:rStyle w:val="VerbatimChar"/>
        </w:rPr>
        <w:t xml:space="preserve">- Estimated using pooled SD.</w:t>
      </w:r>
    </w:p>
    <w:bookmarkEnd w:id="41"/>
    <w:bookmarkStart w:id="47" w:name="the-comparison"/>
    <w:p>
      <w:pPr>
        <w:pStyle w:val="Heading2"/>
      </w:pPr>
      <w:r>
        <w:t xml:space="preserve">The Comparison</w:t>
      </w:r>
    </w:p>
    <w:p>
      <w:pPr>
        <w:pStyle w:val="FirstParagraph"/>
      </w:pPr>
      <w:r>
        <w:drawing>
          <wp:inline>
            <wp:extent cx="6667500" cy="2823882"/>
            <wp:effectExtent b="0" l="0" r="0" t="0"/>
            <wp:docPr descr="" title="" id="43" name="Picture"/>
            <a:graphic>
              <a:graphicData uri="http://schemas.openxmlformats.org/drawingml/2006/picture">
                <pic:pic>
                  <pic:nvPicPr>
                    <pic:cNvPr descr="power_and_error_lecture_files/figure-docx/power-and-error-05-1.png" id="44" name="Picture"/>
                    <pic:cNvPicPr>
                      <a:picLocks noChangeArrowheads="1" noChangeAspect="1"/>
                    </pic:cNvPicPr>
                  </pic:nvPicPr>
                  <pic:blipFill>
                    <a:blip r:embed="rId42"/>
                    <a:stretch>
                      <a:fillRect/>
                    </a:stretch>
                  </pic:blipFill>
                  <pic:spPr bwMode="auto">
                    <a:xfrm>
                      <a:off x="0" y="0"/>
                      <a:ext cx="6667500" cy="2823882"/>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Positron.app/Contents/Resources/app/quarto/share/formats/docx/note.png" id="4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t xml:space="preserve">Same statistical machinery, same kind of test, wildly different power — because sample size and effect-size-relative-to-noise differ. Nothing about the</w:t>
            </w:r>
            <w:r>
              <w:t xml:space="preserve"> </w:t>
            </w:r>
            <w:r>
              <w:rPr>
                <w:i/>
                <w:iCs/>
              </w:rPr>
              <w:t xml:space="preserve">pine</w:t>
            </w:r>
            <w:r>
              <w:t xml:space="preserve"> </w:t>
            </w:r>
            <w:r>
              <w:t xml:space="preserve">data is broken; it simply cannot see an effect this size with 4 trees per side.</w:t>
            </w:r>
          </w:p>
          <w:p/>
        </w:tc>
      </w:tr>
    </w:tbl>
    <w:bookmarkEnd w:id="47"/>
    <w:bookmarkStart w:id="48" w:name="X64643bee5c295333ff906ecc99fc8e6b9352b46"/>
    <w:p>
      <w:pPr>
        <w:pStyle w:val="Heading2"/>
      </w:pPr>
      <w:r>
        <w:t xml:space="preserve">Part 5 · A Priori Power: Planning Before You Collect Data</w:t>
      </w:r>
    </w:p>
    <w:bookmarkEnd w:id="48"/>
    <w:bookmarkStart w:id="54" w:name="X22ad62715bc85f921a371e3d9c5073e21f394bb"/>
    <w:p>
      <w:pPr>
        <w:pStyle w:val="Heading2"/>
      </w:pPr>
      <w:r>
        <w:t xml:space="preserve">The Question to Ask</w:t>
      </w:r>
      <w:r>
        <w:t xml:space="preserve"> </w:t>
      </w:r>
      <w:r>
        <w:rPr>
          <w:i/>
          <w:iCs/>
        </w:rPr>
        <w:t xml:space="preserve">Before</w:t>
      </w:r>
      <w:r>
        <w:t xml:space="preserve"> </w:t>
      </w:r>
      <w:r>
        <w:t xml:space="preserve">the Field Season</w:t>
      </w:r>
    </w:p>
    <w:p>
      <w:pPr>
        <w:pStyle w:val="FirstParagraph"/>
      </w:pPr>
      <w:r>
        <w:t xml:space="preserve">The most useful power analysis happens</w:t>
      </w:r>
      <w:r>
        <w:t xml:space="preserve"> </w:t>
      </w:r>
      <w:r>
        <w:rPr>
          <w:b/>
          <w:bCs/>
        </w:rPr>
        <w:t xml:space="preserve">before you collect a single data point</w:t>
      </w:r>
      <w:r>
        <w:t xml:space="preserve">: guess or borrow an effect size, then ask what sample size would give you 80% power.</w:t>
      </w:r>
    </w:p>
    <w:p>
      <w:pPr>
        <w:pStyle w:val="SourceCode"/>
      </w:pPr>
      <w:r>
        <w:rPr>
          <w:rStyle w:val="FunctionTok"/>
        </w:rPr>
        <w:t xml:space="preserve">pwr.t.test</w:t>
      </w:r>
      <w:r>
        <w:rPr>
          <w:rStyle w:val="NormalTok"/>
        </w:rPr>
        <w:t xml:space="preserve">(</w:t>
      </w:r>
      <w:r>
        <w:br/>
      </w:r>
      <w:r>
        <w:rPr>
          <w:rStyle w:val="NormalTok"/>
        </w:rPr>
        <w:t xml:space="preserve">  </w:t>
      </w:r>
      <w:r>
        <w:rPr>
          <w:rStyle w:val="AttributeTok"/>
        </w:rPr>
        <w:t xml:space="preserve">d =</w:t>
      </w:r>
      <w:r>
        <w:rPr>
          <w:rStyle w:val="NormalTok"/>
        </w:rPr>
        <w:t xml:space="preserve"> d_unpaired</w:t>
      </w:r>
      <w:r>
        <w:rPr>
          <w:rStyle w:val="SpecialCharTok"/>
        </w:rPr>
        <w:t xml:space="preserve">$</w:t>
      </w:r>
      <w:r>
        <w:rPr>
          <w:rStyle w:val="NormalTok"/>
        </w:rPr>
        <w:t xml:space="preserve">Cohens_d,</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br/>
      </w:r>
      <w:r>
        <w:rPr>
          <w:rStyle w:val="NormalTok"/>
        </w:rPr>
        <w:t xml:space="preserve">)</w:t>
      </w:r>
    </w:p>
    <w:p>
      <w:pPr>
        <w:pStyle w:val="SourceCode"/>
      </w:pPr>
      <w:r>
        <w:br/>
      </w:r>
      <w:r>
        <w:rPr>
          <w:rStyle w:val="VerbatimChar"/>
        </w:rPr>
        <w:t xml:space="preserve">     Two-sample t test power calculation </w:t>
      </w:r>
      <w:r>
        <w:br/>
      </w:r>
      <w:r>
        <w:br/>
      </w:r>
      <w:r>
        <w:rPr>
          <w:rStyle w:val="VerbatimChar"/>
        </w:rPr>
        <w:t xml:space="preserve">              n = 43.89921</w:t>
      </w:r>
      <w:r>
        <w:br/>
      </w:r>
      <w:r>
        <w:rPr>
          <w:rStyle w:val="VerbatimChar"/>
        </w:rPr>
        <w:t xml:space="preserve">              d = 0.6047825</w:t>
      </w:r>
      <w:r>
        <w:br/>
      </w:r>
      <w:r>
        <w:rPr>
          <w:rStyle w:val="VerbatimChar"/>
        </w:rPr>
        <w:t xml:space="preserve">      sig.level = 0.05</w:t>
      </w:r>
      <w:r>
        <w:br/>
      </w:r>
      <w:r>
        <w:rPr>
          <w:rStyle w:val="VerbatimChar"/>
        </w:rPr>
        <w:t xml:space="preserve">          power = 0.8</w:t>
      </w:r>
      <w:r>
        <w:br/>
      </w:r>
      <w:r>
        <w:rPr>
          <w:rStyle w:val="VerbatimChar"/>
        </w:rPr>
        <w:t xml:space="preserve">    alternative = two.sided</w:t>
      </w:r>
      <w:r>
        <w:br/>
      </w:r>
      <w:r>
        <w:br/>
      </w:r>
      <w:r>
        <w:rPr>
          <w:rStyle w:val="VerbatimChar"/>
        </w:rPr>
        <w:t xml:space="preserve">NOTE: n is number in *each* group</w:t>
      </w:r>
    </w:p>
    <w:p>
      <w:pPr>
        <w:pStyle w:val="FirstParagraph"/>
      </w:pPr>
      <w:r>
        <w:rPr>
          <w:b/>
          <w:bCs/>
        </w:rPr>
        <w:t xml:space="preserve">44 trees per side</w:t>
      </w:r>
      <w:r>
        <w:t xml:space="preserve"> </w:t>
      </w:r>
      <w:r>
        <w:t xml:space="preserve">(always round</w:t>
      </w:r>
      <w:r>
        <w:t xml:space="preserve"> </w:t>
      </w:r>
      <w:r>
        <w:rPr>
          <w:rStyle w:val="VerbatimChar"/>
        </w:rPr>
        <w:t xml:space="preserve">n</w:t>
      </w:r>
      <w:r>
        <w:t xml:space="preserve"> </w:t>
      </w:r>
      <w:r>
        <w:t xml:space="preserve">up). We collected 4.</w:t>
      </w:r>
    </w:p>
    <w:p>
      <w:pPr>
        <w:pStyle w:val="BodyText"/>
      </w:pPr>
      <w:r>
        <w:t xml:space="preserve">And that d came from just 4 trees — its 95% CI (shady − sunny) runs from -2.01 to 0.84, which includes zero. An a priori n is only as good as the effect size you feed it; published values or a conservative guess are often safer than a tiny pilot.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Positron.app/Contents/Resources/app/quarto/share/formats/docx/note.png" id="5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Reference</w:t>
            </w:r>
          </w:p>
          <w:p>
            <w:pPr>
              <w:pStyle w:val="BodyText"/>
            </w:pPr>
            <w:pPr>
              <w:spacing w:after="16"/>
            </w:pPr>
            <w:r>
              <w:t xml:space="preserve">Whitlock &amp; Schluter, Ch. 14 — Designing Experiments, and Gotelli &amp; Ellison, Ch. 4, both cover planning sample size before a study.</w:t>
            </w:r>
          </w:p>
          <w:p/>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Positron.app/Contents/Resources/app/quarto/share/formats/docx/warning.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This is why</w:t>
            </w:r>
            <w:r>
              <w:rPr>
                <w:b/>
                <w:bCs/>
              </w:rPr>
              <w:t xml:space="preserve"> </w:t>
            </w:r>
            <w:r>
              <w:rPr>
                <w:b/>
                <w:bCs/>
              </w:rPr>
              <w:t xml:space="preserve">“we found no difference”</w:t>
            </w:r>
            <w:r>
              <w:rPr>
                <w:b/>
                <w:bCs/>
              </w:rPr>
              <w:t xml:space="preserve"> </w:t>
            </w:r>
            <w:r>
              <w:rPr>
                <w:b/>
                <w:bCs/>
              </w:rPr>
              <w:t xml:space="preserve">is usually the wrong conclusion</w:t>
            </w:r>
          </w:p>
          <w:p>
            <w:pPr>
              <w:pStyle w:val="BodyText"/>
            </w:pPr>
            <w:pPr>
              <w:spacing w:after="16"/>
            </w:pPr>
            <w:r>
              <w:t xml:space="preserve">A non-significant result from an underpowered study does not mean there is no effect. It means</w:t>
            </w:r>
            <w:r>
              <w:t xml:space="preserve"> </w:t>
            </w:r>
            <w:r>
              <w:rPr>
                <w:b/>
                <w:bCs/>
              </w:rPr>
              <w:t xml:space="preserve">the study could never have found one.</w:t>
            </w:r>
          </w:p>
          <w:p/>
        </w:tc>
      </w:tr>
    </w:tbl>
    <w:bookmarkEnd w:id="54"/>
    <w:bookmarkStart w:id="57" w:name="X27d74ff3003c34d40e5b8f5a266a541cdee5aac"/>
    <w:p>
      <w:pPr>
        <w:pStyle w:val="Heading2"/>
      </w:pPr>
      <w:r>
        <w:t xml:space="preserve">Practice 5 · A Priori Power for a Smaller Effect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Positron.app/Contents/Resources/app/quarto/share/formats/docx/tip.png" id="5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Your turn — run this</w:t>
            </w:r>
          </w:p>
          <w:p>
            <w:pPr>
              <w:pStyle w:val="BodyText"/>
            </w:pPr>
            <w:r>
              <w:t xml:space="preserve">The horned lizards gave us a</w:t>
            </w:r>
            <w:r>
              <w:t xml:space="preserve"> </w:t>
            </w:r>
            <w:r>
              <w:rPr>
                <w:i/>
                <w:iCs/>
              </w:rPr>
              <w:t xml:space="preserve">large</w:t>
            </w:r>
            <w:r>
              <w:t xml:space="preserve"> </w:t>
            </w:r>
            <w:r>
              <w:t xml:space="preserve">effect (d ≈ 0.87). Suppose instead you are planning a</w:t>
            </w:r>
            <w:r>
              <w:t xml:space="preserve"> </w:t>
            </w:r>
            <w:r>
              <w:rPr>
                <w:b/>
                <w:bCs/>
              </w:rPr>
              <w:t xml:space="preserve">new</w:t>
            </w:r>
            <w:r>
              <w:t xml:space="preserve"> </w:t>
            </w:r>
            <w:r>
              <w:t xml:space="preserve">study where you only expect a</w:t>
            </w:r>
            <w:r>
              <w:t xml:space="preserve"> </w:t>
            </w:r>
            <w:r>
              <w:rPr>
                <w:i/>
                <w:iCs/>
              </w:rPr>
              <w:t xml:space="preserve">medium</w:t>
            </w:r>
            <w:r>
              <w:t xml:space="preserve"> </w:t>
            </w:r>
            <w:r>
              <w:t xml:space="preserve">effect (d = 0.5, Cohen’s own benchmark). Assuming</w:t>
            </w:r>
            <w:r>
              <w:t xml:space="preserve"> </w:t>
            </w:r>
            <w:r>
              <w:rPr>
                <w:b/>
                <w:bCs/>
              </w:rPr>
              <w:t xml:space="preserve">equal</w:t>
            </w:r>
            <w:r>
              <w:t xml:space="preserve"> </w:t>
            </w:r>
            <w:r>
              <w:t xml:space="preserve">group sizes, how many lizards per group would you need for 80% power?</w:t>
            </w:r>
          </w:p>
          <w:p>
            <w:pPr>
              <w:pStyle w:val="SourceCode"/>
            </w:pPr>
            <w:r>
              <w:rPr>
                <w:rStyle w:val="FunctionTok"/>
              </w:rPr>
              <w:t xml:space="preserve">pwr.t.test</w:t>
            </w:r>
            <w:r>
              <w:rPr>
                <w:rStyle w:val="NormalTok"/>
              </w:rPr>
              <w:t xml:space="preserve">(</w:t>
            </w:r>
            <w:r>
              <w:rPr>
                <w:rStyle w:val="AttributeTok"/>
              </w:rPr>
              <w:t xml:space="preserve">d =</w:t>
            </w:r>
            <w:r>
              <w:rPr>
                <w:rStyle w:val="NormalTok"/>
              </w:rPr>
              <w:t xml:space="preserve"> </w:t>
            </w:r>
            <w:r>
              <w:rPr>
                <w:rStyle w:val="FloatTok"/>
              </w:rPr>
              <w:t xml:space="preserve">0.5</w:t>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AttributeTok"/>
              </w:rPr>
              <w:t xml:space="preserve">type =</w:t>
            </w:r>
            <w:r>
              <w:rPr>
                <w:rStyle w:val="NormalTok"/>
              </w:rPr>
              <w:t xml:space="preserve"> </w:t>
            </w:r>
            <w:r>
              <w:rPr>
                <w:rStyle w:val="StringTok"/>
              </w:rPr>
              <w:t xml:space="preserve">"two.sample"</w:t>
            </w:r>
            <w:r>
              <w:rPr>
                <w:rStyle w:val="NormalTok"/>
              </w:rPr>
              <w:t xml:space="preserve">)</w:t>
            </w:r>
          </w:p>
          <w:p>
            <w:pPr>
              <w:pStyle w:val="SourceCode"/>
            </w:pPr>
            <w:r>
              <w:br/>
            </w:r>
            <w:r>
              <w:rPr>
                <w:rStyle w:val="VerbatimChar"/>
              </w:rPr>
              <w:t xml:space="preserve">     Two-sample t test power calculation </w:t>
            </w:r>
            <w:r>
              <w:br/>
            </w:r>
            <w:r>
              <w:br/>
            </w:r>
            <w:r>
              <w:rPr>
                <w:rStyle w:val="VerbatimChar"/>
              </w:rPr>
              <w:t xml:space="preserve">              n = 63.76561</w:t>
            </w:r>
            <w:r>
              <w:br/>
            </w:r>
            <w:r>
              <w:rPr>
                <w:rStyle w:val="VerbatimChar"/>
              </w:rPr>
              <w:t xml:space="preserve">              d = 0.5</w:t>
            </w:r>
            <w:r>
              <w:br/>
            </w:r>
            <w:r>
              <w:rPr>
                <w:rStyle w:val="VerbatimChar"/>
              </w:rPr>
              <w:t xml:space="preserve">      sig.level = 0.05</w:t>
            </w:r>
            <w:r>
              <w:br/>
            </w:r>
            <w:r>
              <w:rPr>
                <w:rStyle w:val="VerbatimChar"/>
              </w:rPr>
              <w:t xml:space="preserve">          power = 0.8</w:t>
            </w:r>
            <w:r>
              <w:br/>
            </w:r>
            <w:r>
              <w:rPr>
                <w:rStyle w:val="VerbatimChar"/>
              </w:rPr>
              <w:t xml:space="preserve">    alternative = two.sided</w:t>
            </w:r>
            <w:r>
              <w:br/>
            </w:r>
            <w:r>
              <w:br/>
            </w:r>
            <w:r>
              <w:rPr>
                <w:rStyle w:val="VerbatimChar"/>
              </w:rPr>
              <w:t xml:space="preserve">NOTE: n is number in *each* group</w:t>
            </w:r>
          </w:p>
          <w:p>
            <w:pPr>
              <w:pStyle w:val="FirstParagraph"/>
            </w:pPr>
            <w:pPr>
              <w:spacing w:after="16"/>
            </w:pPr>
            <w:r>
              <w:t xml:space="preserve">How does that n compare to the 44 trees per side the pine study needed?</w:t>
            </w:r>
          </w:p>
          <w:p/>
        </w:tc>
      </w:tr>
    </w:tbl>
    <w:bookmarkEnd w:id="57"/>
    <w:bookmarkStart w:id="58" w:name="Xaf8cd6105a07d7383e15fed519bc7b3ee482582"/>
    <w:p>
      <w:pPr>
        <w:pStyle w:val="Heading2"/>
      </w:pPr>
      <w:r>
        <w:t xml:space="preserve">Part 6 · The</w:t>
      </w:r>
      <w:r>
        <w:t xml:space="preserve"> </w:t>
      </w:r>
      <w:r>
        <w:rPr>
          <w:rStyle w:val="VerbatimChar"/>
        </w:rPr>
        <w:t xml:space="preserve">pwr</w:t>
      </w:r>
      <w:r>
        <w:t xml:space="preserve"> </w:t>
      </w:r>
      <w:r>
        <w:t xml:space="preserve">Package, and Unequal Group Sizes</w:t>
      </w:r>
    </w:p>
    <w:bookmarkEnd w:id="58"/>
    <w:bookmarkStart w:id="62" w:name="when-your-two-groups-arent-the-same-size"/>
    <w:p>
      <w:pPr>
        <w:pStyle w:val="Heading2"/>
      </w:pPr>
      <w:r>
        <w:t xml:space="preserve">When Your Two Groups Aren’t the Same Size</w:t>
      </w:r>
    </w:p>
    <w:p>
      <w:pPr>
        <w:pStyle w:val="FirstParagraph"/>
      </w:pPr>
      <w:r>
        <w:rPr>
          <w:rStyle w:val="VerbatimChar"/>
        </w:rPr>
        <w:t xml:space="preserve">pwr</w:t>
      </w:r>
      <w:r>
        <w:t xml:space="preserve"> </w:t>
      </w:r>
      <w:r>
        <w:t xml:space="preserve">generalizes power analysis beyond the two-sample t-test —</w:t>
      </w:r>
      <w:r>
        <w:t xml:space="preserve"> </w:t>
      </w:r>
      <w:r>
        <w:rPr>
          <w:rStyle w:val="VerbatimChar"/>
        </w:rPr>
        <w:t xml:space="preserve">pwr.anova.test()</w:t>
      </w:r>
      <w:r>
        <w:t xml:space="preserve">,</w:t>
      </w:r>
      <w:r>
        <w:t xml:space="preserve"> </w:t>
      </w:r>
      <w:r>
        <w:rPr>
          <w:rStyle w:val="VerbatimChar"/>
        </w:rPr>
        <w:t xml:space="preserve">pwr.r.test()</w:t>
      </w:r>
      <w:r>
        <w:t xml:space="preserve">, and</w:t>
      </w:r>
      <w:r>
        <w:t xml:space="preserve"> </w:t>
      </w:r>
      <w:r>
        <w:rPr>
          <w:rStyle w:val="VerbatimChar"/>
        </w:rPr>
        <w:t xml:space="preserve">pwr.chisq.test()</w:t>
      </w:r>
      <w:r>
        <w:t xml:space="preserve"> </w:t>
      </w:r>
      <w:r>
        <w:t xml:space="preserve">cover ANOVA, correlation, and categorical data, all with the same interface, for later units.</w:t>
      </w:r>
    </w:p>
    <w:p>
      <w:pPr>
        <w:pStyle w:val="BodyText"/>
      </w:pPr>
      <w:r>
        <w:t xml:space="preserve">Right now, the feature we need is</w:t>
      </w:r>
      <w:r>
        <w:t xml:space="preserve"> </w:t>
      </w:r>
      <w:r>
        <w:rPr>
          <w:rStyle w:val="VerbatimChar"/>
        </w:rPr>
        <w:t xml:space="preserve">pwr.t2n.test()</w:t>
      </w:r>
      <w:r>
        <w:t xml:space="preserve"> </w:t>
      </w:r>
      <w:r>
        <w:t xml:space="preserve">— it takes the</w:t>
      </w:r>
      <w:r>
        <w:t xml:space="preserve"> </w:t>
      </w:r>
      <w:r>
        <w:rPr>
          <w:b/>
          <w:bCs/>
        </w:rPr>
        <w:t xml:space="preserve">two actual group sizes</w:t>
      </w:r>
      <w:r>
        <w:t xml:space="preserve"> </w:t>
      </w:r>
      <w:r>
        <w:t xml:space="preserve">directly. No averaging, no workaround:</w:t>
      </w:r>
    </w:p>
    <w:p>
      <w:pPr>
        <w:pStyle w:val="SourceCode"/>
      </w:pPr>
      <w:r>
        <w:rPr>
          <w:rStyle w:val="FunctionTok"/>
        </w:rPr>
        <w:t xml:space="preserve">pwr.t2n.test</w:t>
      </w:r>
      <w:r>
        <w:rPr>
          <w:rStyle w:val="NormalTok"/>
        </w:rPr>
        <w:t xml:space="preserve">(</w:t>
      </w:r>
      <w:r>
        <w:br/>
      </w:r>
      <w:r>
        <w:rPr>
          <w:rStyle w:val="NormalTok"/>
        </w:rPr>
        <w:t xml:space="preserve">  </w:t>
      </w:r>
      <w:r>
        <w:rPr>
          <w:rStyle w:val="AttributeTok"/>
        </w:rPr>
        <w:t xml:space="preserve">n1 =</w:t>
      </w:r>
      <w:r>
        <w:rPr>
          <w:rStyle w:val="NormalTok"/>
        </w:rPr>
        <w:t xml:space="preserve"> </w:t>
      </w:r>
      <w:r>
        <w:rPr>
          <w:rStyle w:val="FunctionTok"/>
        </w:rPr>
        <w:t xml:space="preserve">sum</w:t>
      </w:r>
      <w:r>
        <w:rPr>
          <w:rStyle w:val="NormalTok"/>
        </w:rPr>
        <w:t xml:space="preserve">(lizard_df</w:t>
      </w:r>
      <w:r>
        <w:rPr>
          <w:rStyle w:val="SpecialCharTok"/>
        </w:rPr>
        <w:t xml:space="preserve">$</w:t>
      </w:r>
      <w:r>
        <w:rPr>
          <w:rStyle w:val="NormalTok"/>
        </w:rPr>
        <w:t xml:space="preserve">survival </w:t>
      </w:r>
      <w:r>
        <w:rPr>
          <w:rStyle w:val="SpecialCharTok"/>
        </w:rPr>
        <w:t xml:space="preserve">==</w:t>
      </w:r>
      <w:r>
        <w:rPr>
          <w:rStyle w:val="NormalTok"/>
        </w:rPr>
        <w:t xml:space="preserve"> </w:t>
      </w:r>
      <w:r>
        <w:rPr>
          <w:rStyle w:val="StringTok"/>
        </w:rPr>
        <w:t xml:space="preserve">"living"</w:t>
      </w:r>
      <w:r>
        <w:rPr>
          <w:rStyle w:val="NormalTok"/>
        </w:rPr>
        <w:t xml:space="preserve">),</w:t>
      </w:r>
      <w:r>
        <w:br/>
      </w:r>
      <w:r>
        <w:rPr>
          <w:rStyle w:val="NormalTok"/>
        </w:rPr>
        <w:t xml:space="preserve">  </w:t>
      </w:r>
      <w:r>
        <w:rPr>
          <w:rStyle w:val="AttributeTok"/>
        </w:rPr>
        <w:t xml:space="preserve">n2 =</w:t>
      </w:r>
      <w:r>
        <w:rPr>
          <w:rStyle w:val="NormalTok"/>
        </w:rPr>
        <w:t xml:space="preserve"> </w:t>
      </w:r>
      <w:r>
        <w:rPr>
          <w:rStyle w:val="FunctionTok"/>
        </w:rPr>
        <w:t xml:space="preserve">sum</w:t>
      </w:r>
      <w:r>
        <w:rPr>
          <w:rStyle w:val="NormalTok"/>
        </w:rPr>
        <w:t xml:space="preserve">(lizard_df</w:t>
      </w:r>
      <w:r>
        <w:rPr>
          <w:rStyle w:val="SpecialCharTok"/>
        </w:rPr>
        <w:t xml:space="preserve">$</w:t>
      </w:r>
      <w:r>
        <w:rPr>
          <w:rStyle w:val="NormalTok"/>
        </w:rPr>
        <w:t xml:space="preserve">survival </w:t>
      </w:r>
      <w:r>
        <w:rPr>
          <w:rStyle w:val="SpecialCharTok"/>
        </w:rPr>
        <w:t xml:space="preserve">==</w:t>
      </w:r>
      <w:r>
        <w:rPr>
          <w:rStyle w:val="NormalTok"/>
        </w:rPr>
        <w:t xml:space="preserve"> </w:t>
      </w:r>
      <w:r>
        <w:rPr>
          <w:rStyle w:val="StringTok"/>
        </w:rPr>
        <w:t xml:space="preserve">"killed"</w:t>
      </w:r>
      <w:r>
        <w:rPr>
          <w:rStyle w:val="NormalTok"/>
        </w:rPr>
        <w:t xml:space="preserve">),</w:t>
      </w:r>
      <w:r>
        <w:br/>
      </w:r>
      <w:r>
        <w:rPr>
          <w:rStyle w:val="NormalTok"/>
        </w:rPr>
        <w:t xml:space="preserve">  </w:t>
      </w:r>
      <w:r>
        <w:rPr>
          <w:rStyle w:val="AttributeTok"/>
        </w:rPr>
        <w:t xml:space="preserve">d =</w:t>
      </w:r>
      <w:r>
        <w:rPr>
          <w:rStyle w:val="NormalTok"/>
        </w:rPr>
        <w:t xml:space="preserve"> d_lizard</w:t>
      </w:r>
      <w:r>
        <w:rPr>
          <w:rStyle w:val="SpecialCharTok"/>
        </w:rPr>
        <w:t xml:space="preserve">$</w:t>
      </w:r>
      <w:r>
        <w:rPr>
          <w:rStyle w:val="NormalTok"/>
        </w:rPr>
        <w:t xml:space="preserve">Cohens_d,</w:t>
      </w:r>
      <w:r>
        <w:br/>
      </w:r>
      <w:r>
        <w:rPr>
          <w:rStyle w:val="NormalTok"/>
        </w:rPr>
        <w:t xml:space="preserve">  </w:t>
      </w:r>
      <w:r>
        <w:rPr>
          <w:rStyle w:val="AttributeTok"/>
        </w:rPr>
        <w:t xml:space="preserve">sig.level =</w:t>
      </w:r>
      <w:r>
        <w:rPr>
          <w:rStyle w:val="NormalTok"/>
        </w:rPr>
        <w:t xml:space="preserve"> </w:t>
      </w:r>
      <w:r>
        <w:rPr>
          <w:rStyle w:val="FloatTok"/>
        </w:rPr>
        <w:t xml:space="preserve">0.05</w:t>
      </w:r>
      <w:r>
        <w:br/>
      </w:r>
      <w:r>
        <w:rPr>
          <w:rStyle w:val="NormalTok"/>
        </w:rPr>
        <w:t xml:space="preserve">)</w:t>
      </w:r>
    </w:p>
    <w:p>
      <w:pPr>
        <w:pStyle w:val="SourceCode"/>
      </w:pPr>
      <w:r>
        <w:br/>
      </w:r>
      <w:r>
        <w:rPr>
          <w:rStyle w:val="VerbatimChar"/>
        </w:rPr>
        <w:t xml:space="preserve">     t test power calculation </w:t>
      </w:r>
      <w:r>
        <w:br/>
      </w:r>
      <w:r>
        <w:br/>
      </w:r>
      <w:r>
        <w:rPr>
          <w:rStyle w:val="VerbatimChar"/>
        </w:rPr>
        <w:t xml:space="preserve">             n1 = 154</w:t>
      </w:r>
      <w:r>
        <w:br/>
      </w:r>
      <w:r>
        <w:rPr>
          <w:rStyle w:val="VerbatimChar"/>
        </w:rPr>
        <w:t xml:space="preserve">             n2 = 30</w:t>
      </w:r>
      <w:r>
        <w:br/>
      </w:r>
      <w:r>
        <w:rPr>
          <w:rStyle w:val="VerbatimChar"/>
        </w:rPr>
        <w:t xml:space="preserve">              d = 0.8679866</w:t>
      </w:r>
      <w:r>
        <w:br/>
      </w:r>
      <w:r>
        <w:rPr>
          <w:rStyle w:val="VerbatimChar"/>
        </w:rPr>
        <w:t xml:space="preserve">      sig.level = 0.05</w:t>
      </w:r>
      <w:r>
        <w:br/>
      </w:r>
      <w:r>
        <w:rPr>
          <w:rStyle w:val="VerbatimChar"/>
        </w:rPr>
        <w:t xml:space="preserve">          power = 0.9910174</w:t>
      </w:r>
      <w:r>
        <w:br/>
      </w:r>
      <w:r>
        <w:rPr>
          <w:rStyle w:val="VerbatimChar"/>
        </w:rPr>
        <w:t xml:space="preserve">    alternative = two.sided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Positron.app/Contents/Resources/app/quarto/share/formats/docx/important.png" id="61" name="Picture"/>
                          <pic:cNvPicPr>
                            <a:picLocks noChangeArrowheads="1" noChangeAspect="1"/>
                          </pic:cNvPicPr>
                        </pic:nvPicPr>
                        <pic:blipFill>
                          <a:blip r:embed="rId5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old workaround</w:t>
            </w:r>
          </w:p>
          <w:p>
            <w:pPr>
              <w:pStyle w:val="BodyText"/>
            </w:pPr>
            <w:pPr>
              <w:spacing w:after="16"/>
            </w:pPr>
            <w:r>
              <w:t xml:space="preserve">Before</w:t>
            </w:r>
            <w:r>
              <w:t xml:space="preserve"> </w:t>
            </w:r>
            <w:r>
              <w:rPr>
                <w:rStyle w:val="VerbatimChar"/>
              </w:rPr>
              <w:t xml:space="preserve">pwr.t2n.test()</w:t>
            </w:r>
            <w:r>
              <w:t xml:space="preserve">, an unbalanced design forced you to fake a single n — usually the</w:t>
            </w:r>
            <w:r>
              <w:t xml:space="preserve"> </w:t>
            </w:r>
            <w:r>
              <w:rPr>
                <w:b/>
                <w:bCs/>
              </w:rPr>
              <w:t xml:space="preserve">harmonic mean</w:t>
            </w:r>
            <w:r>
              <w:t xml:space="preserve"> </w:t>
            </w:r>
            <w:r>
              <w:t xml:space="preserve">of n₁ and n₂ — and feed that to a function built for equal groups. It is an approximation.</w:t>
            </w:r>
            <w:r>
              <w:t xml:space="preserve"> </w:t>
            </w:r>
            <w:r>
              <w:rPr>
                <w:rStyle w:val="VerbatimChar"/>
              </w:rPr>
              <w:t xml:space="preserve">pwr.t2n.test()</w:t>
            </w:r>
            <w:r>
              <w:t xml:space="preserve"> </w:t>
            </w:r>
            <w:r>
              <w:t xml:space="preserve">uses both real sample sizes directly and is the better tool whenever n₁ ≠ n₂.</w:t>
            </w:r>
          </w:p>
          <w:p/>
        </w:tc>
      </w:tr>
    </w:tbl>
    <w:bookmarkEnd w:id="62"/>
    <w:bookmarkStart w:id="63" w:name="part-7-retrospective-post-hoc-power"/>
    <w:p>
      <w:pPr>
        <w:pStyle w:val="Heading2"/>
      </w:pPr>
      <w:r>
        <w:t xml:space="preserve">Part 7 · Retrospective (Post-Hoc) Power</w:t>
      </w:r>
    </w:p>
    <w:bookmarkEnd w:id="63"/>
    <w:bookmarkStart w:id="66" w:name="X4b2289c0e50bf3bc611c4be1b48df2eb9297095"/>
    <w:p>
      <w:pPr>
        <w:pStyle w:val="Heading2"/>
      </w:pPr>
      <w:r>
        <w:t xml:space="preserve">Computing Power From What You Actually Observed</w:t>
      </w:r>
    </w:p>
    <w:p>
      <w:pPr>
        <w:pStyle w:val="FirstParagraph"/>
      </w:pPr>
      <w:r>
        <w:t xml:space="preserve">The other direction:</w:t>
      </w:r>
      <w:r>
        <w:t xml:space="preserve"> </w:t>
      </w:r>
      <w:r>
        <w:rPr>
          <w:b/>
          <w:bCs/>
        </w:rPr>
        <w:t xml:space="preserve">after</w:t>
      </w:r>
      <w:r>
        <w:t xml:space="preserve"> </w:t>
      </w:r>
      <w:r>
        <w:t xml:space="preserve">a study, ask what power your actual n and observed effect size gave you.</w:t>
      </w:r>
    </w:p>
    <w:p>
      <w:pPr>
        <w:pStyle w:val="SourceCode"/>
      </w:pPr>
      <w:r>
        <w:rPr>
          <w:rStyle w:val="FunctionTok"/>
        </w:rPr>
        <w:t xml:space="preserve">pwr.t.test</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d =</w:t>
      </w:r>
      <w:r>
        <w:rPr>
          <w:rStyle w:val="NormalTok"/>
        </w:rPr>
        <w:t xml:space="preserve"> d_unpaired</w:t>
      </w:r>
      <w:r>
        <w:rPr>
          <w:rStyle w:val="SpecialCharTok"/>
        </w:rPr>
        <w:t xml:space="preserve">$</w:t>
      </w:r>
      <w:r>
        <w:rPr>
          <w:rStyle w:val="NormalTok"/>
        </w:rPr>
        <w:t xml:space="preserve">Cohens_d,</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br/>
      </w:r>
      <w:r>
        <w:rPr>
          <w:rStyle w:val="NormalTok"/>
        </w:rPr>
        <w:t xml:space="preserve">)</w:t>
      </w:r>
    </w:p>
    <w:p>
      <w:pPr>
        <w:pStyle w:val="SourceCode"/>
      </w:pPr>
      <w:r>
        <w:br/>
      </w:r>
      <w:r>
        <w:rPr>
          <w:rStyle w:val="VerbatimChar"/>
        </w:rPr>
        <w:t xml:space="preserve">     Two-sample t test power calculation </w:t>
      </w:r>
      <w:r>
        <w:br/>
      </w:r>
      <w:r>
        <w:br/>
      </w:r>
      <w:r>
        <w:rPr>
          <w:rStyle w:val="VerbatimChar"/>
        </w:rPr>
        <w:t xml:space="preserve">              n = 4</w:t>
      </w:r>
      <w:r>
        <w:br/>
      </w:r>
      <w:r>
        <w:rPr>
          <w:rStyle w:val="VerbatimChar"/>
        </w:rPr>
        <w:t xml:space="preserve">              d = 0.6047825</w:t>
      </w:r>
      <w:r>
        <w:br/>
      </w:r>
      <w:r>
        <w:rPr>
          <w:rStyle w:val="VerbatimChar"/>
        </w:rPr>
        <w:t xml:space="preserve">      sig.level = 0.05</w:t>
      </w:r>
      <w:r>
        <w:br/>
      </w:r>
      <w:r>
        <w:rPr>
          <w:rStyle w:val="VerbatimChar"/>
        </w:rPr>
        <w:t xml:space="preserve">          power = 0.112253</w:t>
      </w:r>
      <w:r>
        <w:br/>
      </w:r>
      <w:r>
        <w:rPr>
          <w:rStyle w:val="VerbatimChar"/>
        </w:rPr>
        <w:t xml:space="preserve">    alternative = two.sided</w:t>
      </w:r>
      <w:r>
        <w:br/>
      </w:r>
      <w:r>
        <w:br/>
      </w:r>
      <w:r>
        <w:rPr>
          <w:rStyle w:val="VerbatimChar"/>
        </w:rPr>
        <w:t xml:space="preserve">NOTE: n is number in *each* group</w:t>
      </w:r>
    </w:p>
    <w:p>
      <w:pPr>
        <w:pStyle w:val="FirstParagraph"/>
      </w:pPr>
      <w:r>
        <w:rPr>
          <w:b/>
          <w:bCs/>
        </w:rPr>
        <w:t xml:space="preserve">11% power.</w:t>
      </w:r>
      <w:r>
        <w:t xml:space="preserve"> </w:t>
      </w:r>
      <w:r>
        <w:t xml:space="preserve">Even if the pine difference is completely real, an unpaired study with 4 trees per side would</w:t>
      </w:r>
      <w:r>
        <w:t xml:space="preserve"> </w:t>
      </w:r>
      <w:r>
        <w:rPr>
          <w:b/>
          <w:bCs/>
        </w:rPr>
        <w:t xml:space="preserve">miss it about 9 times out of 10.</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Positron.app/Contents/Resources/app/quarto/share/formats/docx/warning.png" id="6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A warning about</w:t>
            </w:r>
            <w:r>
              <w:rPr>
                <w:b/>
                <w:bCs/>
              </w:rPr>
              <w:t xml:space="preserve"> </w:t>
            </w:r>
            <w:r>
              <w:rPr>
                <w:b/>
                <w:bCs/>
              </w:rPr>
              <w:t xml:space="preserve">“post-hoc power”</w:t>
            </w:r>
          </w:p>
          <w:p>
            <w:pPr>
              <w:pStyle w:val="BodyText"/>
            </w:pPr>
            <w:r>
              <w:t xml:space="preserve">Computing power</w:t>
            </w:r>
            <w:r>
              <w:t xml:space="preserve"> </w:t>
            </w:r>
            <w:r>
              <w:rPr>
                <w:i/>
                <w:iCs/>
              </w:rPr>
              <w:t xml:space="preserve">from the effect size you observed</w:t>
            </w:r>
            <w:r>
              <w:t xml:space="preserve"> </w:t>
            </w:r>
            <w:r>
              <w:t xml:space="preserve">is a known trap. It is fine for what we used it for here:</w:t>
            </w:r>
            <w:r>
              <w:t xml:space="preserve"> </w:t>
            </w:r>
            <w:r>
              <w:rPr>
                <w:b/>
                <w:bCs/>
              </w:rPr>
              <w:t xml:space="preserve">planning the next study.</w:t>
            </w:r>
          </w:p>
          <w:p>
            <w:pPr>
              <w:pStyle w:val="BodyText"/>
            </w:pPr>
            <w:pPr>
              <w:spacing w:after="16"/>
            </w:pPr>
            <w:r>
              <w:t xml:space="preserve">It is</w:t>
            </w:r>
            <w:r>
              <w:t xml:space="preserve"> </w:t>
            </w:r>
            <w:r>
              <w:rPr>
                <w:b/>
                <w:bCs/>
              </w:rPr>
              <w:t xml:space="preserve">not</w:t>
            </w:r>
            <w:r>
              <w:t xml:space="preserve"> </w:t>
            </w:r>
            <w:r>
              <w:t xml:space="preserve">a valid way to explain away a non-significant result — observed power is just a re-expression of the p-value you already have.</w:t>
            </w:r>
            <w:r>
              <w:t xml:space="preserve"> </w:t>
            </w:r>
            <w:r>
              <w:t xml:space="preserve">“Our result was non-significant, but we had low power”</w:t>
            </w:r>
            <w:r>
              <w:t xml:space="preserve"> </w:t>
            </w:r>
            <w:r>
              <w:t xml:space="preserve">says the same thing twice.</w:t>
            </w:r>
          </w:p>
          <w:p/>
        </w:tc>
      </w:tr>
    </w:tbl>
    <w:bookmarkEnd w:id="66"/>
    <w:bookmarkStart w:id="69" w:name="X82db16a57ea293ffa221a8435c8be592193d772"/>
    <w:p>
      <w:pPr>
        <w:pStyle w:val="Heading2"/>
      </w:pPr>
      <w:r>
        <w:t xml:space="preserve">Practice 6 · Retrospective Power for the Paired Design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Positron.app/Contents/Resources/app/quarto/share/formats/docx/tip.png" id="6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Your turn — run this</w:t>
            </w:r>
          </w:p>
          <w:p>
            <w:pPr>
              <w:pStyle w:val="BodyText"/>
            </w:pPr>
            <w:r>
              <w:t xml:space="preserve">You already calculated</w:t>
            </w:r>
            <w:r>
              <w:t xml:space="preserve"> </w:t>
            </w:r>
            <w:r>
              <w:rPr>
                <w:rStyle w:val="VerbatimChar"/>
              </w:rPr>
              <w:t xml:space="preserve">d_paired</w:t>
            </w:r>
            <w:r>
              <w:t xml:space="preserve"> </w:t>
            </w:r>
            <w:r>
              <w:t xml:space="preserve">in Part 4 (the same four trees, paired instead of unpaired). Compute the retrospective power of the</w:t>
            </w:r>
            <w:r>
              <w:t xml:space="preserve"> </w:t>
            </w:r>
            <w:r>
              <w:rPr>
                <w:b/>
                <w:bCs/>
              </w:rPr>
              <w:t xml:space="preserve">paired</w:t>
            </w:r>
            <w:r>
              <w:t xml:space="preserve"> </w:t>
            </w:r>
            <w:r>
              <w:t xml:space="preserve">design at n = 4, the same way Part 7 just did for the unpaired one.</w:t>
            </w:r>
          </w:p>
          <w:p>
            <w:pPr>
              <w:pStyle w:val="SourceCode"/>
            </w:pPr>
            <w:r>
              <w:rPr>
                <w:rStyle w:val="FunctionTok"/>
              </w:rPr>
              <w:t xml:space="preserve">pwr.t.test</w:t>
            </w:r>
            <w:r>
              <w:rPr>
                <w:rStyle w:val="NormalTok"/>
              </w:rPr>
              <w:t xml:space="preserve">(</w:t>
            </w:r>
            <w:r>
              <w:rPr>
                <w:rStyle w:val="AttributeTok"/>
              </w:rPr>
              <w:t xml:space="preserve">n =</w:t>
            </w:r>
            <w:r>
              <w:rPr>
                <w:rStyle w:val="NormalTok"/>
              </w:rPr>
              <w:t xml:space="preserve"> </w:t>
            </w:r>
            <w:r>
              <w:rPr>
                <w:rStyle w:val="DecValTok"/>
              </w:rPr>
              <w:t xml:space="preserve">4</w:t>
            </w:r>
            <w:r>
              <w:rPr>
                <w:rStyle w:val="NormalTok"/>
              </w:rPr>
              <w:t xml:space="preserve">, </w:t>
            </w:r>
            <w:r>
              <w:rPr>
                <w:rStyle w:val="AttributeTok"/>
              </w:rPr>
              <w:t xml:space="preserve">d =</w:t>
            </w:r>
            <w:r>
              <w:rPr>
                <w:rStyle w:val="NormalTok"/>
              </w:rPr>
              <w:t xml:space="preserve"> d_paired</w:t>
            </w:r>
            <w:r>
              <w:rPr>
                <w:rStyle w:val="SpecialCharTok"/>
              </w:rPr>
              <w:t xml:space="preserve">$</w:t>
            </w:r>
            <w:r>
              <w:rPr>
                <w:rStyle w:val="NormalTok"/>
              </w:rPr>
              <w:t xml:space="preserve">Cohens_d,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AttributeTok"/>
              </w:rPr>
              <w:t xml:space="preserve">type =</w:t>
            </w:r>
            <w:r>
              <w:rPr>
                <w:rStyle w:val="NormalTok"/>
              </w:rPr>
              <w:t xml:space="preserve"> </w:t>
            </w:r>
            <w:r>
              <w:rPr>
                <w:rStyle w:val="StringTok"/>
              </w:rPr>
              <w:t xml:space="preserve">"paired"</w:t>
            </w:r>
            <w:r>
              <w:rPr>
                <w:rStyle w:val="NormalTok"/>
              </w:rPr>
              <w:t xml:space="preserve">)</w:t>
            </w:r>
          </w:p>
          <w:p>
            <w:pPr>
              <w:pStyle w:val="SourceCode"/>
            </w:pPr>
            <w:r>
              <w:br/>
            </w:r>
            <w:r>
              <w:rPr>
                <w:rStyle w:val="VerbatimChar"/>
              </w:rPr>
              <w:t xml:space="preserve">     Paired t test power calculation </w:t>
            </w:r>
            <w:r>
              <w:br/>
            </w:r>
            <w:r>
              <w:br/>
            </w:r>
            <w:r>
              <w:rPr>
                <w:rStyle w:val="VerbatimChar"/>
              </w:rPr>
              <w:t xml:space="preserve">              n = 4</w:t>
            </w:r>
            <w:r>
              <w:br/>
            </w:r>
            <w:r>
              <w:rPr>
                <w:rStyle w:val="VerbatimChar"/>
              </w:rPr>
              <w:t xml:space="preserve">              d = 1.361371</w:t>
            </w:r>
            <w:r>
              <w:br/>
            </w:r>
            <w:r>
              <w:rPr>
                <w:rStyle w:val="VerbatimChar"/>
              </w:rPr>
              <w:t xml:space="preserve">      sig.level = 0.05</w:t>
            </w:r>
            <w:r>
              <w:br/>
            </w:r>
            <w:r>
              <w:rPr>
                <w:rStyle w:val="VerbatimChar"/>
              </w:rPr>
              <w:t xml:space="preserve">          power = 0.4635201</w:t>
            </w:r>
            <w:r>
              <w:br/>
            </w:r>
            <w:r>
              <w:rPr>
                <w:rStyle w:val="VerbatimChar"/>
              </w:rPr>
              <w:t xml:space="preserve">    alternative = two.sided</w:t>
            </w:r>
            <w:r>
              <w:br/>
            </w:r>
            <w:r>
              <w:br/>
            </w:r>
            <w:r>
              <w:rPr>
                <w:rStyle w:val="VerbatimChar"/>
              </w:rPr>
              <w:t xml:space="preserve">NOTE: n is number of *pairs*</w:t>
            </w:r>
          </w:p>
          <w:p>
            <w:pPr>
              <w:pStyle w:val="FirstParagraph"/>
            </w:pPr>
            <w:pPr>
              <w:spacing w:after="16"/>
            </w:pPr>
            <w:r>
              <w:t xml:space="preserve">How much higher is it than the unpaired 11%?</w:t>
            </w:r>
          </w:p>
          <w:p/>
        </w:tc>
      </w:tr>
    </w:tbl>
    <w:bookmarkEnd w:id="69"/>
    <w:bookmarkStart w:id="70" w:name="part-8-pairing-buys-you-power"/>
    <w:p>
      <w:pPr>
        <w:pStyle w:val="Heading2"/>
      </w:pPr>
      <w:r>
        <w:t xml:space="preserve">Part 8 · Pairing Buys You Power</w:t>
      </w:r>
    </w:p>
    <w:bookmarkEnd w:id="70"/>
    <w:bookmarkStart w:id="73" w:name="the-whole-economics-of-the-study"/>
    <w:p>
      <w:pPr>
        <w:pStyle w:val="Heading2"/>
      </w:pPr>
      <w:r>
        <w:t xml:space="preserve">The Whole Economics of the Study</w:t>
      </w:r>
    </w:p>
    <w:p>
      <w:pPr>
        <w:pStyle w:val="FirstParagraph"/>
      </w:pPr>
      <w:r>
        <w:t xml:space="preserve">Pairing does not just give a smaller p-value — it changes what the study needed to begin with.</w:t>
      </w:r>
    </w:p>
    <w:p>
      <w:pPr>
        <w:pStyle w:val="SourceCode"/>
      </w:pPr>
      <w:r>
        <w:rPr>
          <w:rStyle w:val="FunctionTok"/>
        </w:rPr>
        <w:t xml:space="preserve">pwr.t.test</w:t>
      </w:r>
      <w:r>
        <w:rPr>
          <w:rStyle w:val="NormalTok"/>
        </w:rPr>
        <w:t xml:space="preserve">(</w:t>
      </w:r>
      <w:r>
        <w:br/>
      </w:r>
      <w:r>
        <w:rPr>
          <w:rStyle w:val="NormalTok"/>
        </w:rPr>
        <w:t xml:space="preserve">  </w:t>
      </w:r>
      <w:r>
        <w:rPr>
          <w:rStyle w:val="AttributeTok"/>
        </w:rPr>
        <w:t xml:space="preserve">d =</w:t>
      </w:r>
      <w:r>
        <w:rPr>
          <w:rStyle w:val="NormalTok"/>
        </w:rPr>
        <w:t xml:space="preserve"> d_paired</w:t>
      </w:r>
      <w:r>
        <w:rPr>
          <w:rStyle w:val="SpecialCharTok"/>
        </w:rPr>
        <w:t xml:space="preserve">$</w:t>
      </w:r>
      <w:r>
        <w:rPr>
          <w:rStyle w:val="NormalTok"/>
        </w:rPr>
        <w:t xml:space="preserve">Cohens_d,</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"paired"</w:t>
      </w:r>
      <w:r>
        <w:br/>
      </w:r>
      <w:r>
        <w:rPr>
          <w:rStyle w:val="NormalTok"/>
        </w:rPr>
        <w:t xml:space="preserve">)</w:t>
      </w:r>
    </w:p>
    <w:p>
      <w:pPr>
        <w:pStyle w:val="SourceCode"/>
      </w:pPr>
      <w:r>
        <w:br/>
      </w:r>
      <w:r>
        <w:rPr>
          <w:rStyle w:val="VerbatimChar"/>
        </w:rPr>
        <w:t xml:space="preserve">     Paired t test power calculation </w:t>
      </w:r>
      <w:r>
        <w:br/>
      </w:r>
      <w:r>
        <w:br/>
      </w:r>
      <w:r>
        <w:rPr>
          <w:rStyle w:val="VerbatimChar"/>
        </w:rPr>
        <w:t xml:space="preserve">              n = 6.406838</w:t>
      </w:r>
      <w:r>
        <w:br/>
      </w:r>
      <w:r>
        <w:rPr>
          <w:rStyle w:val="VerbatimChar"/>
        </w:rPr>
        <w:t xml:space="preserve">              d = 1.361371</w:t>
      </w:r>
      <w:r>
        <w:br/>
      </w:r>
      <w:r>
        <w:rPr>
          <w:rStyle w:val="VerbatimChar"/>
        </w:rPr>
        <w:t xml:space="preserve">      sig.level = 0.05</w:t>
      </w:r>
      <w:r>
        <w:br/>
      </w:r>
      <w:r>
        <w:rPr>
          <w:rStyle w:val="VerbatimChar"/>
        </w:rPr>
        <w:t xml:space="preserve">          power = 0.8</w:t>
      </w:r>
      <w:r>
        <w:br/>
      </w:r>
      <w:r>
        <w:rPr>
          <w:rStyle w:val="VerbatimChar"/>
        </w:rPr>
        <w:t xml:space="preserve">    alternative = two.sided</w:t>
      </w:r>
      <w:r>
        <w:br/>
      </w:r>
      <w:r>
        <w:br/>
      </w:r>
      <w:r>
        <w:rPr>
          <w:rStyle w:val="VerbatimChar"/>
        </w:rPr>
        <w:t xml:space="preserve">NOTE: n is number of *pairs*</w:t>
      </w:r>
    </w:p>
    <w:p>
      <w:pPr>
        <w:pStyle w:val="FirstParagraph"/>
      </w:pPr>
      <w:r>
        <w:rPr>
          <w:b/>
          <w:bCs/>
        </w:rPr>
        <w:t xml:space="preserve">7 trees, total</w:t>
      </w:r>
      <w:r>
        <w:t xml:space="preserve"> </w:t>
      </w:r>
      <w:r>
        <w:t xml:space="preserve">— for 80% power, paired.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Design</w:t>
            </w:r>
          </w:p>
        </w:tc>
        <w:tc>
          <w:tcPr/>
          <w:p>
            <w:pPr>
              <w:pStyle w:val="Compact"/>
            </w:pPr>
            <w:r>
              <w:t xml:space="preserve">Power at n = 4</w:t>
            </w:r>
          </w:p>
        </w:tc>
        <w:tc>
          <w:tcPr/>
          <w:p>
            <w:pPr>
              <w:pStyle w:val="Compact"/>
            </w:pPr>
            <w:r>
              <w:t xml:space="preserve">Trees for 80% power</w:t>
            </w:r>
          </w:p>
        </w:tc>
      </w:tr>
      <w:tr>
        <w:tc>
          <w:tcPr/>
          <w:p>
            <w:pPr>
              <w:pStyle w:val="Compact"/>
            </w:pPr>
            <w:r>
              <w:t xml:space="preserve">Unpaired</w:t>
            </w:r>
          </w:p>
        </w:tc>
        <w:tc>
          <w:tcPr/>
          <w:p>
            <w:pPr>
              <w:pStyle w:val="Compact"/>
            </w:pPr>
            <w:r>
              <w:t xml:space="preserve">11%</w:t>
            </w:r>
          </w:p>
        </w:tc>
        <w:tc>
          <w:tcPr/>
          <w:p>
            <w:pPr>
              <w:pStyle w:val="Compact"/>
            </w:pPr>
            <w:r>
              <w:t xml:space="preserve">44 per side (88 trees)</w:t>
            </w:r>
          </w:p>
        </w:tc>
      </w:tr>
      <w:tr>
        <w:tc>
          <w:tcPr/>
          <w:p>
            <w:pPr>
              <w:pStyle w:val="Compact"/>
            </w:pPr>
            <w:r>
              <w:t xml:space="preserve">Paired</w:t>
            </w:r>
          </w:p>
        </w:tc>
        <w:tc>
          <w:tcPr/>
          <w:p>
            <w:pPr>
              <w:pStyle w:val="Compact"/>
            </w:pPr>
            <w:r>
              <w:t xml:space="preserve">46%</w:t>
            </w:r>
          </w:p>
        </w:tc>
        <w:tc>
          <w:tcPr/>
          <w:p>
            <w:pPr>
              <w:pStyle w:val="Compact"/>
            </w:pPr>
            <w:r>
              <w:t xml:space="preserve">7 total</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Positron.app/Contents/Resources/app/quarto/share/formats/docx/important.png" id="72" name="Picture"/>
                          <pic:cNvPicPr>
                            <a:picLocks noChangeArrowheads="1" noChangeAspect="1"/>
                          </pic:cNvPicPr>
                        </pic:nvPicPr>
                        <pic:blipFill>
                          <a:blip r:embed="rId5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Same trees. Same needles. Same measurements.</w:t>
            </w:r>
          </w:p>
          <w:p>
            <w:pPr>
              <w:pStyle w:val="BodyText"/>
            </w:pPr>
            <w:pPr>
              <w:spacing w:after="16"/>
            </w:pPr>
            <w:r>
              <w:t xml:space="preserve">Pairing takes this study from needing</w:t>
            </w:r>
            <w:r>
              <w:t xml:space="preserve"> </w:t>
            </w:r>
            <w:r>
              <w:rPr>
                <w:b/>
                <w:bCs/>
              </w:rPr>
              <w:t xml:space="preserve">88 trees</w:t>
            </w:r>
            <w:r>
              <w:t xml:space="preserve"> </w:t>
            </w:r>
            <w:r>
              <w:t xml:space="preserve">(44 per side) to needing</w:t>
            </w:r>
            <w:r>
              <w:t xml:space="preserve"> </w:t>
            </w:r>
            <w:r>
              <w:rPr>
                <w:b/>
                <w:bCs/>
              </w:rPr>
              <w:t xml:space="preserve">7 trees.</w:t>
            </w:r>
            <w:r>
              <w:t xml:space="preserve"> </w:t>
            </w:r>
            <w:r>
              <w:t xml:space="preserve">That is not a statistical trick — it is what respecting the design of your own experiment is worth.</w:t>
            </w:r>
          </w:p>
          <w:p/>
        </w:tc>
      </w:tr>
    </w:tbl>
    <w:bookmarkEnd w:id="73"/>
    <w:bookmarkStart w:id="74" w:name="part-9-error-bars-revisited"/>
    <w:p>
      <w:pPr>
        <w:pStyle w:val="Heading2"/>
      </w:pPr>
      <w:r>
        <w:t xml:space="preserve">Part 9 · Error Bars, Revisited</w:t>
      </w:r>
    </w:p>
    <w:bookmarkEnd w:id="74"/>
    <w:bookmarkStart w:id="78" w:name="sd-se-and-ci-answer-different-questions"/>
    <w:p>
      <w:pPr>
        <w:pStyle w:val="Heading2"/>
      </w:pPr>
      <w:r>
        <w:t xml:space="preserve">SD, SE, and CI Answer Different Questions</w:t>
      </w:r>
    </w:p>
    <w:p>
      <w:pPr>
        <w:pStyle w:val="Compact"/>
        <w:numPr>
          <w:ilvl w:val="0"/>
          <w:numId w:val="1009"/>
        </w:numPr>
      </w:pPr>
      <w:r>
        <w:rPr>
          <w:b/>
          <w:bCs/>
        </w:rPr>
        <w:t xml:space="preserve">Standard deviation (SD)</w:t>
      </w:r>
      <w:r>
        <w:t xml:space="preserve"> </w:t>
      </w:r>
      <w:r>
        <w:t xml:space="preserve">— spread of the raw data</w:t>
      </w:r>
    </w:p>
    <w:p>
      <w:pPr>
        <w:pStyle w:val="Compact"/>
        <w:numPr>
          <w:ilvl w:val="0"/>
          <w:numId w:val="1009"/>
        </w:numPr>
      </w:pPr>
      <w:r>
        <w:rPr>
          <w:b/>
          <w:bCs/>
        </w:rPr>
        <w:t xml:space="preserve">Standard error (SE)</w:t>
      </w:r>
      <w:r>
        <w:t xml:space="preserve"> </w:t>
      </w:r>
      <w:r>
        <w:t xml:space="preserve">— precision of the</w:t>
      </w:r>
      <w:r>
        <w:t xml:space="preserve"> </w:t>
      </w:r>
      <w:r>
        <w:rPr>
          <w:i/>
          <w:iCs/>
        </w:rPr>
        <w:t xml:space="preserve">mean</w:t>
      </w:r>
      <w:r>
        <w:t xml:space="preserve">,</w:t>
      </w:r>
      <w:r>
        <w:t xml:space="preserve"> </w:t>
      </w:r>
      <w:r>
        <w:rPr>
          <w:rStyle w:val="VerbatimChar"/>
        </w:rPr>
        <w:t xml:space="preserve">SD / sqrt(n)</w:t>
      </w:r>
    </w:p>
    <w:p>
      <w:pPr>
        <w:pStyle w:val="Compact"/>
        <w:numPr>
          <w:ilvl w:val="0"/>
          <w:numId w:val="1009"/>
        </w:numPr>
      </w:pPr>
      <w:r>
        <w:rPr>
          <w:b/>
          <w:bCs/>
        </w:rPr>
        <w:t xml:space="preserve">95% confidence interval (CI)</w:t>
      </w:r>
      <w:r>
        <w:t xml:space="preserve"> </w:t>
      </w:r>
      <w:r>
        <w:t xml:space="preserve">— plausible range for the true mean, built from SE and the t-distribution</w:t>
      </w:r>
    </w:p>
    <w:p>
      <w:pPr>
        <w:pStyle w:val="FirstParagraph"/>
      </w:pPr>
      <w:r>
        <w:rPr>
          <w:rStyle w:val="VerbatimChar"/>
        </w:rPr>
        <w:t xml:space="preserve">summary_stats()</w:t>
      </w:r>
      <w:r>
        <w:t xml:space="preserve"> </w:t>
      </w:r>
      <w:r>
        <w:t xml:space="preserve">gives you all three from one call. A</w:t>
      </w:r>
      <w:r>
        <w:t xml:space="preserve"> </w:t>
      </w:r>
      <w:r>
        <w:rPr>
          <w:b/>
          <w:bCs/>
        </w:rPr>
        <w:t xml:space="preserve">large sample doesn’t shrink SD</w:t>
      </w:r>
      <w:r>
        <w:t xml:space="preserve"> </w:t>
      </w:r>
      <w:r>
        <w:t xml:space="preserve">— it shrinks SE and the CI, because you’re now estimating the mean more precisely, not describing less variable lizards.</w:t>
      </w:r>
    </w:p>
    <w:p>
      <w:pPr>
        <w:pStyle w:val="BodyText"/>
      </w:pPr>
      <w:r>
        <w:drawing>
          <wp:inline>
            <wp:extent cx="5504749" cy="3302849"/>
            <wp:effectExtent b="0" l="0" r="0" t="0"/>
            <wp:docPr descr="" title="" id="76" name="Picture"/>
            <a:graphic>
              <a:graphicData uri="http://schemas.openxmlformats.org/drawingml/2006/picture">
                <pic:pic>
                  <pic:nvPicPr>
                    <pic:cNvPr descr="power_and_error_lecture_files/figure-docx/power-and-error-12-1.png" id="77" name="Picture"/>
                    <pic:cNvPicPr>
                      <a:picLocks noChangeArrowheads="1" noChangeAspect="1"/>
                    </pic:cNvPicPr>
                  </pic:nvPicPr>
                  <pic:blipFill>
                    <a:blip r:embed="rId75"/>
                    <a:stretch>
                      <a:fillRect/>
                    </a:stretch>
                  </pic:blipFill>
                  <pic:spPr bwMode="auto">
                    <a:xfrm>
                      <a:off x="0" y="0"/>
                      <a:ext cx="5504749" cy="3302849"/>
                    </a:xfrm>
                    <a:prstGeom prst="rect">
                      <a:avLst/>
                    </a:prstGeom>
                    <a:noFill/>
                    <a:ln w="9525">
                      <a:noFill/>
                      <a:headEnd/>
                      <a:tailEnd/>
                    </a:ln>
                  </pic:spPr>
                </pic:pic>
              </a:graphicData>
            </a:graphic>
          </wp:inline>
        </w:drawing>
      </w:r>
    </w:p>
    <w:bookmarkEnd w:id="78"/>
    <w:bookmarkStart w:id="79" w:name="part-10-pseudoreplication"/>
    <w:p>
      <w:pPr>
        <w:pStyle w:val="Heading2"/>
      </w:pPr>
      <w:r>
        <w:t xml:space="preserve">Part 10 · Pseudoreplication</w:t>
      </w:r>
    </w:p>
    <w:bookmarkEnd w:id="79"/>
    <w:bookmarkStart w:id="82" w:name="sampling-and-pseudoreplication"/>
    <w:p>
      <w:pPr>
        <w:pStyle w:val="Heading2"/>
      </w:pPr>
      <w:r>
        <w:t xml:space="preserve">Sampling and Pseudoreplication</w:t>
      </w:r>
    </w:p>
    <w:p>
      <w:pPr>
        <w:pStyle w:val="FirstParagraph"/>
      </w:pPr>
      <w:r>
        <w:rPr>
          <w:b/>
          <w:bCs/>
        </w:rPr>
        <w:t xml:space="preserve">Pseudoreplication</w:t>
      </w:r>
      <w:r>
        <w:t xml:space="preserve"> </w:t>
      </w:r>
      <w:r>
        <w:t xml:space="preserve">occurs when measurements that are not independent are analyzed as if they were.</w:t>
      </w:r>
    </w:p>
    <w:p>
      <w:pPr>
        <w:pStyle w:val="Compact"/>
        <w:numPr>
          <w:ilvl w:val="0"/>
          <w:numId w:val="1010"/>
        </w:numPr>
      </w:pPr>
      <w:r>
        <w:t xml:space="preserve">Measuring the same individual multiple times</w:t>
      </w:r>
    </w:p>
    <w:p>
      <w:pPr>
        <w:pStyle w:val="Compact"/>
        <w:numPr>
          <w:ilvl w:val="0"/>
          <w:numId w:val="1010"/>
        </w:numPr>
      </w:pPr>
      <w:r>
        <w:t xml:space="preserve">Treating multiple fish from the same tank as independent</w:t>
      </w:r>
    </w:p>
    <w:p>
      <w:pPr>
        <w:pStyle w:val="Compact"/>
        <w:numPr>
          <w:ilvl w:val="0"/>
          <w:numId w:val="1010"/>
        </w:numPr>
      </w:pPr>
      <w:r>
        <w:t xml:space="preserve">Using multiple data points from a single site</w:t>
      </w:r>
    </w:p>
    <w:p>
      <w:pPr>
        <w:pStyle w:val="FirstParagraph"/>
      </w:pPr>
      <w:r>
        <w:t xml:space="preserve">It results in underestimated standard errors and inflated Type I error rates — it makes a study look more precise, and more significant, than it actually 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Positron.app/Contents/Resources/app/quarto/share/formats/docx/important.png" id="81" name="Picture"/>
                          <pic:cNvPicPr>
                            <a:picLocks noChangeArrowheads="1" noChangeAspect="1"/>
                          </pic:cNvPicPr>
                        </pic:nvPicPr>
                        <pic:blipFill>
                          <a:blip r:embed="rId5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We have been doing this all along</w:t>
            </w:r>
          </w:p>
          <w:p>
            <w:pPr>
              <w:pStyle w:val="BodyText"/>
            </w:pPr>
            <w:r>
              <w:t xml:space="preserve">Our pine needle data has 64 rows. Analyzed as 64 independent needles it would look like a large, well-powered study. Analyzed honestly —</w:t>
            </w:r>
            <w:r>
              <w:t xml:space="preserve"> </w:t>
            </w:r>
            <w:r>
              <w:rPr>
                <w:b/>
                <w:bCs/>
              </w:rPr>
              <w:t xml:space="preserve">4 trees</w:t>
            </w:r>
            <w:r>
              <w:t xml:space="preserve"> </w:t>
            </w:r>
            <w:r>
              <w:t xml:space="preserve">— it has 11% power unpaired, 46% paired.</w:t>
            </w:r>
          </w:p>
          <w:p>
            <w:pPr>
              <w:pStyle w:val="BodyText"/>
            </w:pPr>
            <w:pPr>
              <w:spacing w:after="16"/>
            </w:pPr>
            <w:r>
              <w:t xml:space="preserve">Pseudoreplication would not have made the study better. It would only have made us</w:t>
            </w:r>
            <w:r>
              <w:t xml:space="preserve"> </w:t>
            </w:r>
            <w:r>
              <w:rPr>
                <w:b/>
                <w:bCs/>
              </w:rPr>
              <w:t xml:space="preserve">believe</w:t>
            </w:r>
            <w:r>
              <w:t xml:space="preserve"> </w:t>
            </w:r>
            <w:r>
              <w:t xml:space="preserve">it was.</w:t>
            </w:r>
          </w:p>
          <w:p/>
        </w:tc>
      </w:tr>
    </w:tbl>
    <w:bookmarkEnd w:id="82"/>
    <w:bookmarkStart w:id="86" w:name="pseudoreplicated-vs.-true-replication"/>
    <w:p>
      <w:pPr>
        <w:pStyle w:val="Heading2"/>
      </w:pPr>
      <w:r>
        <w:t xml:space="preserve">Pseudoreplicated vs. True Replication</w:t>
      </w:r>
    </w:p>
    <w:p>
      <w:pPr>
        <w:pStyle w:val="FirstParagraph"/>
      </w:pPr>
      <w:r>
        <w:drawing>
          <wp:inline>
            <wp:extent cx="6667500" cy="2963333"/>
            <wp:effectExtent b="0" l="0" r="0" t="0"/>
            <wp:docPr descr="" title="" id="84" name="Picture"/>
            <a:graphic>
              <a:graphicData uri="http://schemas.openxmlformats.org/drawingml/2006/picture">
                <pic:pic>
                  <pic:nvPicPr>
                    <pic:cNvPr descr="power_and_error_lecture_files/figure-docx/power-and-error-13-1.png" id="85" name="Picture"/>
                    <pic:cNvPicPr>
                      <a:picLocks noChangeArrowheads="1" noChangeAspect="1"/>
                    </pic:cNvPicPr>
                  </pic:nvPicPr>
                  <pic:blipFill>
                    <a:blip r:embed="rId83"/>
                    <a:stretch>
                      <a:fillRect/>
                    </a:stretch>
                  </pic:blipFill>
                  <pic:spPr bwMode="auto">
                    <a:xfrm>
                      <a:off x="0" y="0"/>
                      <a:ext cx="6667500" cy="2963333"/>
                    </a:xfrm>
                    <a:prstGeom prst="rect">
                      <a:avLst/>
                    </a:prstGeom>
                    <a:noFill/>
                    <a:ln w="9525">
                      <a:noFill/>
                      <a:headEnd/>
                      <a:tailEnd/>
                    </a:ln>
                  </pic:spPr>
                </pic:pic>
              </a:graphicData>
            </a:graphic>
          </wp:inline>
        </w:drawing>
      </w:r>
    </w:p>
    <w:bookmarkEnd w:id="86"/>
    <w:bookmarkStart w:id="87" w:name="aside-the-0.05-debate"/>
    <w:p>
      <w:pPr>
        <w:pStyle w:val="Heading2"/>
      </w:pPr>
      <w:r>
        <w:t xml:space="preserve">Aside · The 0.05 Debate</w:t>
      </w:r>
    </w:p>
    <w:bookmarkEnd w:id="87"/>
    <w:bookmarkStart w:id="91" w:name="Xabc71053ffd34fa5964cb0c25648664273c8a30"/>
    <w:p>
      <w:pPr>
        <w:pStyle w:val="Heading2"/>
      </w:pPr>
      <w:r>
        <w:t xml:space="preserve">A Number That Was Always Meant to Be a Guideline</w:t>
      </w:r>
    </w:p>
    <w:p>
      <w:pPr>
        <w:pStyle w:val="BlockText"/>
      </w:pPr>
      <w:r>
        <w:t xml:space="preserve">“If p is between 0.1 and 0.9 there is certainly no reason to suspect the hypothesis tested. If it is below 0.02 it is strongly indicated that the hypothesis fails to account for the whole of the facts. We shall not often be astray if we draw a conventional line at .05 …”</w:t>
      </w:r>
    </w:p>
    <w:p>
      <w:pPr>
        <w:pStyle w:val="FirstParagraph"/>
      </w:pPr>
      <w:r>
        <w:t xml:space="preserve">— R.A. Fisher, on the p-value as an informal measure of discrepancy between data and H₀</w:t>
      </w:r>
    </w:p>
    <w:p>
      <w:pPr>
        <w:pStyle w:val="BodyText"/>
      </w:pPr>
      <w:r>
        <w:t xml:space="preserve">Fisher proposed 0.05 as a rough guideline, not a bright line. Modern critiques of</w:t>
      </w:r>
      <w:r>
        <w:t xml:space="preserve"> </w:t>
      </w:r>
      <w:r>
        <w:t xml:space="preserve">“statistical significance”</w:t>
      </w:r>
      <w:r>
        <w:t xml:space="preserve"> </w:t>
      </w:r>
      <w:r>
        <w:t xml:space="preserve">as a binary pass/fail argue power and effect size deserve at least as much attention as whether p cleared 0.05.</w:t>
      </w:r>
    </w:p>
    <w:p>
      <w:pPr>
        <w:pStyle w:val="CaptionedFigure"/>
      </w:pPr>
      <w:r>
        <w:drawing>
          <wp:inline>
            <wp:extent cx="3017520" cy="2286000"/>
            <wp:effectExtent b="0" l="0" r="0" t="0"/>
            <wp:docPr descr="Screenshot of a Nature comment article titled ‘Scientists rise up against statistical significance,’ by Valentin Amrhein, Sander Greenland, Blake McShane and 800+ signatories, illustrated with a cartoon of two scientists shelving a book labeled ‘Statistical Significance’ in a dusty cabinet of retired scientific relics like phlogiston and spontaneous generation, symbolizing calls to retire strict significance thresholds." title="" id="89" name="Picture"/>
            <a:graphic>
              <a:graphicData uri="http://schemas.openxmlformats.org/drawingml/2006/picture">
                <pic:pic>
                  <pic:nvPicPr>
                    <pic:cNvPr descr="images/clipboard-3329723408.png" id="90" name="Picture"/>
                    <pic:cNvPicPr>
                      <a:picLocks noChangeArrowheads="1" noChangeAspect="1"/>
                    </pic:cNvPicPr>
                  </pic:nvPicPr>
                  <pic:blipFill>
                    <a:blip r:embed="rId88"/>
                    <a:stretch>
                      <a:fillRect/>
                    </a:stretch>
                  </pic:blipFill>
                  <pic:spPr bwMode="auto">
                    <a:xfrm>
                      <a:off x="0" y="0"/>
                      <a:ext cx="3017520" cy="2286000"/>
                    </a:xfrm>
                    <a:prstGeom prst="rect">
                      <a:avLst/>
                    </a:prstGeom>
                    <a:noFill/>
                    <a:ln w="9525">
                      <a:noFill/>
                      <a:headEnd/>
                      <a:tailEnd/>
                    </a:ln>
                  </pic:spPr>
                </pic:pic>
              </a:graphicData>
            </a:graphic>
          </wp:inline>
        </w:drawing>
      </w:r>
    </w:p>
    <w:p>
      <w:pPr>
        <w:pStyle w:val="ImageCaption"/>
      </w:pPr>
      <w:r>
        <w:t xml:space="preserve">Screenshot of a Nature comment article titled</w:t>
      </w:r>
      <w:r>
        <w:t xml:space="preserve"> </w:t>
      </w:r>
      <w:r>
        <w:t xml:space="preserve">‘Scientists rise up against statistical significance,’</w:t>
      </w:r>
      <w:r>
        <w:t xml:space="preserve"> </w:t>
      </w:r>
      <w:r>
        <w:t xml:space="preserve">by Valentin Amrhein, Sander Greenland, Blake McShane and 800+ signatories, illustrated with a cartoon of two scientists shelving a book labeled</w:t>
      </w:r>
      <w:r>
        <w:t xml:space="preserve"> </w:t>
      </w:r>
      <w:r>
        <w:t xml:space="preserve">‘Statistical Significance’</w:t>
      </w:r>
      <w:r>
        <w:t xml:space="preserve"> </w:t>
      </w:r>
      <w:r>
        <w:t xml:space="preserve">in a dusty cabinet of retired scientific relics like phlogiston and spontaneous generation, symbolizing calls to retire strict significance thresholds.</w:t>
      </w:r>
    </w:p>
    <w:bookmarkEnd w:id="91"/>
    <w:bookmarkStart w:id="94" w:name="summary-and-key-takeaways"/>
    <w:p>
      <w:pPr>
        <w:pStyle w:val="Heading2"/>
      </w:pPr>
      <w:r>
        <w:t xml:space="preserve">Summary and Key Takeaways</w:t>
      </w:r>
    </w:p>
    <w:p>
      <w:pPr>
        <w:pStyle w:val="FirstParagraph"/>
      </w:pPr>
      <w:r>
        <w:rPr>
          <w:b/>
          <w:bCs/>
        </w:rPr>
        <w:t xml:space="preserve">Key concepts covered:</w:t>
      </w:r>
    </w:p>
    <w:p>
      <w:pPr>
        <w:pStyle w:val="Compact"/>
        <w:numPr>
          <w:ilvl w:val="0"/>
          <w:numId w:val="1011"/>
        </w:numPr>
      </w:pPr>
      <w:r>
        <w:rPr>
          <w:b/>
          <w:bCs/>
        </w:rPr>
        <w:t xml:space="preserve">Type I (α)</w:t>
      </w:r>
      <w:r>
        <w:t xml:space="preserve"> </w:t>
      </w:r>
      <w:r>
        <w:t xml:space="preserve">and</w:t>
      </w:r>
      <w:r>
        <w:t xml:space="preserve"> </w:t>
      </w:r>
      <w:r>
        <w:rPr>
          <w:b/>
          <w:bCs/>
        </w:rPr>
        <w:t xml:space="preserve">Type II (β)</w:t>
      </w:r>
      <w:r>
        <w:t xml:space="preserve"> </w:t>
      </w:r>
      <w:r>
        <w:t xml:space="preserve">error — the two ways a decision can be wrong; power = 1 − β</w:t>
      </w:r>
    </w:p>
    <w:p>
      <w:pPr>
        <w:pStyle w:val="Compact"/>
        <w:numPr>
          <w:ilvl w:val="0"/>
          <w:numId w:val="1011"/>
        </w:numPr>
      </w:pPr>
      <w:r>
        <w:rPr>
          <w:b/>
          <w:bCs/>
        </w:rPr>
        <w:t xml:space="preserve">Power</w:t>
      </w:r>
      <w:r>
        <w:t xml:space="preserve"> </w:t>
      </w:r>
      <w:r>
        <w:t xml:space="preserve">rises with larger n, larger effect size, lower variability, and higher α</w:t>
      </w:r>
    </w:p>
    <w:p>
      <w:pPr>
        <w:pStyle w:val="Compact"/>
        <w:numPr>
          <w:ilvl w:val="0"/>
          <w:numId w:val="1011"/>
        </w:numPr>
      </w:pPr>
      <w:r>
        <w:rPr>
          <w:b/>
          <w:bCs/>
        </w:rPr>
        <w:t xml:space="preserve">A priori power</w:t>
      </w:r>
      <w:r>
        <w:t xml:space="preserve"> </w:t>
      </w:r>
      <w:r>
        <w:t xml:space="preserve">(before data collection) tells you the n a study needs — the most useful use of this whole toolkit</w:t>
      </w:r>
    </w:p>
    <w:p>
      <w:pPr>
        <w:pStyle w:val="Compact"/>
        <w:numPr>
          <w:ilvl w:val="0"/>
          <w:numId w:val="1011"/>
        </w:numPr>
      </w:pPr>
      <w:r>
        <w:rPr>
          <w:b/>
          <w:bCs/>
        </w:rPr>
        <w:t xml:space="preserve">Retrospective power</w:t>
      </w:r>
      <w:r>
        <w:t xml:space="preserve"> </w:t>
      </w:r>
      <w:r>
        <w:t xml:space="preserve">tells you what your finished study could have detected — useful for planning the next one, not for excusing a null result</w:t>
      </w:r>
    </w:p>
    <w:p>
      <w:pPr>
        <w:pStyle w:val="Compact"/>
        <w:numPr>
          <w:ilvl w:val="0"/>
          <w:numId w:val="1012"/>
        </w:numPr>
      </w:pPr>
      <w:r>
        <w:t xml:space="preserve">The</w:t>
      </w:r>
      <w:r>
        <w:t xml:space="preserve"> </w:t>
      </w:r>
      <w:r>
        <w:rPr>
          <w:rStyle w:val="VerbatimChar"/>
          <w:b/>
          <w:bCs/>
        </w:rPr>
        <w:t xml:space="preserve">pwr</w:t>
      </w:r>
      <w:r>
        <w:t xml:space="preserve"> </w:t>
      </w:r>
      <w:r>
        <w:t xml:space="preserve">package generalizes power analysis, and</w:t>
      </w:r>
      <w:r>
        <w:t xml:space="preserve"> </w:t>
      </w:r>
      <w:r>
        <w:rPr>
          <w:rStyle w:val="VerbatimChar"/>
        </w:rPr>
        <w:t xml:space="preserve">pwr.t2n.test()</w:t>
      </w:r>
      <w:r>
        <w:t xml:space="preserve"> </w:t>
      </w:r>
      <w:r>
        <w:t xml:space="preserve">handles unequal group sizes directly</w:t>
      </w:r>
    </w:p>
    <w:p>
      <w:pPr>
        <w:pStyle w:val="Compact"/>
        <w:numPr>
          <w:ilvl w:val="0"/>
          <w:numId w:val="1012"/>
        </w:numPr>
      </w:pPr>
      <w:r>
        <w:rPr>
          <w:b/>
          <w:bCs/>
        </w:rPr>
        <w:t xml:space="preserve">Pairing</w:t>
      </w:r>
      <w:r>
        <w:t xml:space="preserve"> </w:t>
      </w:r>
      <w:r>
        <w:t xml:space="preserve">a design can be worth far more than adding raw sample size</w:t>
      </w:r>
    </w:p>
    <w:p>
      <w:pPr>
        <w:pStyle w:val="Compact"/>
        <w:numPr>
          <w:ilvl w:val="0"/>
          <w:numId w:val="1012"/>
        </w:numPr>
      </w:pPr>
      <w:r>
        <w:rPr>
          <w:b/>
          <w:bCs/>
        </w:rPr>
        <w:t xml:space="preserve">SD, SE, and CI</w:t>
      </w:r>
      <w:r>
        <w:t xml:space="preserve"> </w:t>
      </w:r>
      <w:r>
        <w:t xml:space="preserve">answer three different questions about the same data</w:t>
      </w:r>
    </w:p>
    <w:p>
      <w:pPr>
        <w:pStyle w:val="Compact"/>
        <w:numPr>
          <w:ilvl w:val="0"/>
          <w:numId w:val="1012"/>
        </w:numPr>
      </w:pPr>
      <w:r>
        <w:rPr>
          <w:b/>
          <w:bCs/>
        </w:rPr>
        <w:t xml:space="preserve">Pseudoreplication</w:t>
      </w:r>
      <w:r>
        <w:t xml:space="preserve"> </w:t>
      </w:r>
      <w:r>
        <w:t xml:space="preserve">inflates apparent precision by treating non-independent measurements as independent replicates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Applications/Positron.app/Contents/Resources/app/quarto/share/formats/docx/note.png" id="9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References</w:t>
            </w:r>
          </w:p>
          <w:p>
            <w:pPr>
              <w:pStyle w:val="BodyText"/>
            </w:pPr>
            <w:pPr>
              <w:spacing w:after="16"/>
            </w:pPr>
            <w:r>
              <w:t xml:space="preserve">Gotelli &amp; Ellison, Ch. 4 — Framing and Testing Hypotheses (errors and power); Whitlock &amp; Schluter, Ch. 6 — Hypothesis Testing, and Ch. 14 — Designing Experiments (sample size and power planning).</w:t>
            </w:r>
          </w:p>
          <w:p/>
        </w:tc>
      </w:tr>
    </w:tbl>
    <w:bookmarkEnd w:id="94"/>
    <w:sectPr>
      <w:pgSz w:h="15840" w:w="12240"/>
      <w:pgMar w:bottom="720" w:footer="360" w:gutter="0" w:header="360" w:left="1008" w:right="720" w:top="72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en-US"/>
      </w:rPr>
    </w:rPrDefault>
    <w:pPrDefault>
      <w:pPr>
        <w:spacing w:after="100" w:before="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9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0"/>
    </w:pPr>
  </w:style>
  <w:style w:styleId="Title" w:type="paragraph">
    <w:name w:val="Title"/>
    <w:basedOn w:val="Normal"/>
    <w:next w:val="BodyText"/>
    <w:link w:val="TitleChar"/>
    <w:uiPriority w:val="10"/>
    <w:qFormat/>
    <w:rsid w:val="00A10FD9"/>
    <w:pPr>
      <w:spacing w:after="60" w:before="0" w:line="240" w:lineRule="auto"/>
      <w:contextualSpacing/>
      <w:jc w:val="center"/>
    </w:pPr>
    <w:rPr>
      <w:rFonts w:asciiTheme="majorHAnsi" w:cstheme="majorBidi" w:eastAsiaTheme="majorEastAsia" w:hAnsiTheme="majorHAnsi"/>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8"/>
      <w:szCs w:val="28"/>
    </w:rPr>
  </w:style>
  <w:style w:styleId="Subtitle" w:type="paragraph">
    <w:name w:val="Subtitle"/>
    <w:basedOn w:val="Title"/>
    <w:next w:val="BodyText"/>
    <w:link w:val="SubtitleChar"/>
    <w:uiPriority w:val="11"/>
    <w:qFormat/>
    <w:rsid w:val="00A10FD9"/>
    <w:pPr>
      <w:spacing w:before="0"/>
      <w:numPr>
        <w:ilvl w:val="1"/>
      </w:numPr>
    </w:pPr>
    <w:rPr>
      <w:rFonts w:cstheme="majorBidi" w:eastAsiaTheme="majorEastAsia"/>
      <w:spacing w:val="15"/>
      <w:sz w:val="22"/>
      <w:szCs w:val="22"/>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before="0"/>
      <w:keepNext/>
      <w:keepLines/>
    </w:pPr>
    <w:rPr>
      <w:sz w:val="24"/>
      <w:szCs w:val="24"/>
    </w:rPr>
  </w:style>
  <w:style w:styleId="Date" w:type="paragraph">
    <w:name w:val="Date"/>
    <w:basedOn w:val="Title"/>
    <w:next w:val="BodyText"/>
    <w:qFormat/>
    <w:pPr>
      <w:spacing w:before="0"/>
      <w:keepNext/>
      <w:keepLines/>
    </w:pPr>
    <w:rPr>
      <w:sz w:val="24"/>
      <w:szCs w:val="24"/>
    </w:rPr>
  </w:style>
  <w:style w:customStyle="1" w:styleId="AbstractTitle" w:type="paragraph">
    <w:name w:val="Abstract Title"/>
    <w:basedOn w:val="Normal"/>
    <w:next w:val="Abstract"/>
    <w:qFormat/>
    <w:pPr>
      <w:keepNext/>
      <w:keepLines/>
      <w:spacing w:after="0" w:before="0"/>
      <w:jc w:val="center"/>
    </w:pPr>
    <w:rPr>
      <w:b/>
      <w:sz w:val="20"/>
      <w:szCs w:val="20"/>
    </w:rPr>
  </w:style>
  <w:style w:customStyle="1" w:styleId="Abstract" w:type="paragraph">
    <w:name w:val="Abstract"/>
    <w:basedOn w:val="Normal"/>
    <w:next w:val="BodyText"/>
    <w:qFormat/>
    <w:pPr>
      <w:keepNext/>
      <w:keepLines/>
      <w:spacing w:after="300" w:before="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20"/>
      <w:outlineLvl w:val="0"/>
    </w:pPr>
    <w:rPr>
      <w:rFonts w:asciiTheme="majorHAnsi" w:cstheme="majorBidi" w:eastAsiaTheme="majorEastAsia" w:hAnsiTheme="majorHAnsi"/>
      <w:color w:themeColor="accent1" w:themeShade="BF" w:val="0F4761"/>
      <w:sz w:val="28"/>
      <w:szCs w:val="28"/>
    </w:rPr>
  </w:style>
  <w:style w:styleId="Heading2" w:type="paragraph">
    <w:name w:val="heading 2"/>
    <w:basedOn w:val="Normal"/>
    <w:next w:val="BodyText"/>
    <w:link w:val="Heading2Char"/>
    <w:uiPriority w:val="9"/>
    <w:semiHidden/>
    <w:unhideWhenUsed/>
    <w:qFormat/>
    <w:rsid w:val="00A10FD9"/>
    <w:pPr>
      <w:keepNext/>
      <w:keepLines/>
      <w:spacing w:after="50" w:before="10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cstheme="majorBidi" w:eastAsiaTheme="majorEastAsia"/>
      <w:color w:themeColor="accent1" w:themeShade="BF" w:val="0F4761"/>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6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6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6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before="6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before="6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5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pPr>
    <w:rPr>
      <w:b/>
    </w:rPr>
  </w:style>
  <w:style w:customStyle="1" w:styleId="Definition" w:type="paragraph">
    <w:name w:val="Definition"/>
    <w:basedOn w:val="Normal"/>
  </w:style>
  <w:style w:styleId="Caption" w:type="paragraph">
    <w:name w:val="Caption"/>
    <w:basedOn w:val="Normal"/>
    <w:link w:val="BodyTextChar"/>
    <w:pPr>
      <w:spacing w:after="60" w:before="0"/>
    </w:pPr>
    <w:rPr>
      <w:i/>
    </w:rPr>
  </w:style>
  <w:style w:customStyle="1" w:styleId="TableCaption" w:type="paragraph">
    <w:name w:val="Table Caption"/>
    <w:basedOn w:val="Caption"/>
    <w:pPr>
      <w:spacing w:before="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spacing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png"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51" Target="media/rId51.png" /><Relationship Type="http://schemas.openxmlformats.org/officeDocument/2006/relationships/image" Id="rId88" Target="media/rId88.png"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image" Id="rId42" Target="media/rId42.png" /><Relationship Type="http://schemas.openxmlformats.org/officeDocument/2006/relationships/image" Id="rId75" Target="media/rId75.png" /><Relationship Type="http://schemas.openxmlformats.org/officeDocument/2006/relationships/image" Id="rId83" Target="media/rId83.png" /><Relationship Type="http://schemas.openxmlformats.org/officeDocument/2006/relationships/hyperlink" Id="rId40" Target="data/08_power_and_error.R" TargetMode="External" /><Relationship Type="http://schemas.openxmlformats.org/officeDocument/2006/relationships/hyperlink" Id="rId39" Target="data/horned_lizards.csv" TargetMode="External" /><Relationship Type="http://schemas.openxmlformats.org/officeDocument/2006/relationships/hyperlink" Id="rId38" Target="data/pine_data.csv" TargetMode="External" /></Relationships>
</file>

<file path=word/_rels/footnotes.xml.rels><?xml version="1.0" encoding="UTF-8"?><Relationships xmlns="http://schemas.openxmlformats.org/package/2006/relationships"><Relationship Type="http://schemas.openxmlformats.org/officeDocument/2006/relationships/hyperlink" Id="rId40" Target="data/08_power_and_error.R" TargetMode="External" /><Relationship Type="http://schemas.openxmlformats.org/officeDocument/2006/relationships/hyperlink" Id="rId39" Target="data/horned_lizards.csv" TargetMode="External" /><Relationship Type="http://schemas.openxmlformats.org/officeDocument/2006/relationships/hyperlink" Id="rId38" Target="data/pine_data.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Power and Type I &amp; II Error</dc:title>
  <dc:creator>Bill Perry</dc:creator>
  <dc:description>Type I/II error, effect size, and statistical power — calculated a priori (before data collection) and retrospectively — using the pwr package, on the class pine needle data and the horned lizard predation dataset from Whitlock &amp; Schluter, Ch. 12. Error bars and pseudoreplication, revisited.</dc:description>
  <cp:keywords/>
  <dcterms:created xsi:type="dcterms:W3CDTF">2026-10-19T18:24:42Z</dcterms:created>
  <dcterms:modified xsi:type="dcterms:W3CDTF">2026-10-19T18:24:42Z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execute">
    <vt:lpwstr/>
  </property>
  <property fmtid="{D5CDD505-2E9C-101B-9397-08002B2CF9AE}" pid="7" name="format">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rder">
    <vt:lpwstr>8</vt:lpwstr>
  </property>
  <property fmtid="{D5CDD505-2E9C-101B-9397-08002B2CF9AE}" pid="14" name="resources">
    <vt:lpwstr/>
  </property>
  <property fmtid="{D5CDD505-2E9C-101B-9397-08002B2CF9AE}" pid="15" name="subtitle">
    <vt:lpwstr>Errors and power</vt:lpwstr>
  </property>
  <property fmtid="{D5CDD505-2E9C-101B-9397-08002B2CF9AE}" pid="16" name="toc-title">
    <vt:lpwstr>Table of contents</vt:lpwstr>
  </property>
  <property fmtid="{D5CDD505-2E9C-101B-9397-08002B2CF9AE}" pid="17" name="week">
    <vt:lpwstr>5</vt:lpwstr>
  </property>
</Properties>
</file>