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1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99.png" ContentType="image/png"/>
  <Override PartName="/word/media/rId103.png" ContentType="image/png"/>
  <Override PartName="/word/media/rId28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alysis_of_variance_files/figure-docx/l11-0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analysis_of_variance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nalysis_of_variance_files/figure-docx/l11-0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nalysis_of_variance_files/figure-docx/l11-0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nalysis_of_variance_files/figure-docx/l11-0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nalysis_of_variance_files/figure-docx/l11-0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nalysis_of_variance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nalysis_of_variance_files/figure-docx/l11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analysis_of_variance_files/figure-docx/l11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nalysis_of_variance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alysis_of_variance_files/figure-docx/l11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analysis_of_variance_files/figure-docx/l11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analysis_of_variance_files/figure-docx/l11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analysis_of_variance_files/figure-docx/l11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nalysis_of_variance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analysis_of_variance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analysis_of_variance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analysis_of_variance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analysis_of_variance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28" Target="media/rId28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Variance (ANOVA)</dc:title>
  <dc:creator>Bill Perry</dc:creator>
  <dc:description>One-way ANOVA and its connection to regression.</dc:description>
  <cp:keywords/>
  <dcterms:created xsi:type="dcterms:W3CDTF">2026-07-04T15:53:35Z</dcterms:created>
  <dcterms:modified xsi:type="dcterms:W3CDTF">2026-07-04T15:53:35Z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Single-factor ANOVA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