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28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9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9"/>
    <w:bookmarkStart w:id="10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10"/>
    <w:bookmarkStart w:id="15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11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15"/>
    <w:bookmarkStart w:id="16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16"/>
    <w:bookmarkStart w:id="17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 ‘course schedule’)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17"/>
    <w:bookmarkStart w:id="18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 “publication quality” 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18"/>
    <w:bookmarkStart w:id="19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 ‘F’ letter grade.</w:t>
      </w:r>
    </w:p>
    <w:bookmarkEnd w:id="19"/>
    <w:bookmarkStart w:id="20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20"/>
    <w:bookmarkStart w:id="21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21"/>
    <w:bookmarkStart w:id="23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22">
        <w:r>
          <w:rPr>
            <w:rStyle w:val="Hyperlink"/>
          </w:rPr>
          <w:t xml:space="preserve">https://evcaa.d.umn.edu/student-academic-integrity</w:t>
        </w:r>
      </w:hyperlink>
    </w:p>
    <w:bookmarkEnd w:id="23"/>
    <w:bookmarkStart w:id="25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24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25"/>
    <w:bookmarkStart w:id="26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26"/>
    <w:bookmarkStart w:id="27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27"/>
    <w:bookmarkEnd w:id="2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2026-09-15T02:03:48Z</dcterms:created>
  <dcterms:modified xsi:type="dcterms:W3CDTF">2026-09-15T02:03:48Z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