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png" ContentType="image/png"/>
  <Override PartName="/word/media/rId21.png" ContentType="image/png"/>
  <Override PartName="/word/media/rId54.png" ContentType="image/png"/>
  <Override PartName="/word/media/rId39.png" ContentType="image/png"/>
  <Override PartName="/word/media/rId35.png" ContentType="image/png"/>
  <Override PartName="/word/media/rId31.png" ContentType="image/png"/>
  <Override PartName="/word/media/rId16.jpg" ContentType="image/jpeg"/>
  <Override PartName="/word/media/rId12.jpg" ContentType="image/jpeg"/>
  <Override PartName="/word/media/rId70.jpg" ContentType="image/jpeg"/>
  <Override PartName="/word/media/rId45.png" ContentType="image/png"/>
  <Override PartName="/word/media/rId50.png" ContentType="image/png"/>
  <Override PartName="/word/media/rId57.png" ContentType="image/png"/>
  <Override PartName="/word/media/rId62.png" ContentType="image/png"/>
  <Override PartName="/word/media/rId66.png" ContentType="image/png"/>
  <Override PartName="/word/media/rId76.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Non-Parametric T-Tests</w:t>
      </w:r>
    </w:p>
    <w:p>
      <w:pPr>
        <w:pStyle w:val="Subtitle"/>
      </w:pPr>
      <w:r>
        <w:t xml:space="preserve">Rank-based tests</w:t>
      </w:r>
    </w:p>
    <w:p>
      <w:pPr>
        <w:pStyle w:val="Author"/>
      </w:pPr>
      <w:r>
        <w:t xml:space="preserve">Bill Perry</w:t>
      </w:r>
    </w:p>
    <w:bookmarkStart w:id="15" w:name="where-we-left-off"/>
    <w:p>
      <w:pPr>
        <w:pStyle w:val="Heading2"/>
      </w:pPr>
      <w:r>
        <w:t xml:space="preserve">Where We Left Off</w:t>
      </w:r>
    </w:p>
    <w:p>
      <w:pPr>
        <w:pStyle w:val="FirstParagraph"/>
      </w:pPr>
      <w:r>
        <w:t xml:space="preserve">A brief review:</w:t>
      </w:r>
    </w:p>
    <w:p>
      <w:pPr>
        <w:pStyle w:val="Compact"/>
        <w:numPr>
          <w:ilvl w:val="0"/>
          <w:numId w:val="1001"/>
        </w:numPr>
      </w:pPr>
      <w:r>
        <w:t xml:space="preserve">Hypotheses</w:t>
      </w:r>
    </w:p>
    <w:p>
      <w:pPr>
        <w:pStyle w:val="Compact"/>
        <w:numPr>
          <w:ilvl w:val="0"/>
          <w:numId w:val="1001"/>
        </w:numPr>
      </w:pPr>
      <w:r>
        <w:t xml:space="preserve">One- and two-sided t-tests</w:t>
      </w:r>
    </w:p>
    <w:p>
      <w:pPr>
        <w:pStyle w:val="Compact"/>
        <w:numPr>
          <w:ilvl w:val="0"/>
          <w:numId w:val="1001"/>
        </w:numPr>
      </w:pPr>
      <w:r>
        <w:t xml:space="preserve">One-sample, two-sample, and</w:t>
      </w:r>
      <w:r>
        <w:t xml:space="preserve"> </w:t>
      </w:r>
      <w:r>
        <w:rPr>
          <w:b/>
          <w:bCs/>
        </w:rPr>
        <w:t xml:space="preserve">paired</w:t>
      </w:r>
      <w:r>
        <w:t xml:space="preserve"> </w:t>
      </w:r>
      <w:r>
        <w:t xml:space="preserve">t-tests — and how much more the paired test got out of the same four trees</w:t>
      </w:r>
    </w:p>
    <w:p>
      <w:pPr>
        <w:pStyle w:val="Compact"/>
        <w:numPr>
          <w:ilvl w:val="0"/>
          <w:numId w:val="1001"/>
        </w:numPr>
      </w:pPr>
      <w:r>
        <w:rPr>
          <w:b/>
          <w:bCs/>
        </w:rPr>
        <w:t xml:space="preserve">Assumptions of parametric tests</w:t>
      </w:r>
    </w:p>
    <w:p>
      <w:pPr>
        <w:pStyle w:val="Compact"/>
        <w:numPr>
          <w:ilvl w:val="0"/>
          <w:numId w:val="1001"/>
        </w:numPr>
      </w:pPr>
      <w:r>
        <w:t xml:space="preserve">What next — when assumptions fail!</w:t>
      </w:r>
    </w:p>
    <w:p>
      <w:pPr>
        <w:pStyle w:val="Compact"/>
        <w:numPr>
          <w:ilvl w:val="1"/>
          <w:numId w:val="1002"/>
        </w:numPr>
      </w:pPr>
      <w:r>
        <w:t xml:space="preserve">we will always cover parametric tests first</w:t>
      </w:r>
    </w:p>
    <w:p>
      <w:pPr>
        <w:pStyle w:val="Compact"/>
        <w:numPr>
          <w:ilvl w:val="1"/>
          <w:numId w:val="1002"/>
        </w:numPr>
      </w:pPr>
      <w:r>
        <w:t xml:space="preserve">then non-parametric approaches</w:t>
      </w:r>
    </w:p>
    <w:p>
      <w:pPr>
        <w:pStyle w:val="Compact"/>
        <w:numPr>
          <w:ilvl w:val="1"/>
          <w:numId w:val="1002"/>
        </w:numPr>
      </w:pPr>
      <w:r>
        <w:t xml:space="preserve">later, other approaches use the appropriate underlying distribution when it isn’t normal, but Poisson or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t-test’s p-value is only trustworthy if its assumptions hold. Today is about what to do when they don’t.</w:t>
            </w:r>
          </w:p>
          <w:p/>
        </w:tc>
      </w:tr>
    </w:tbl>
    <w:p>
      <w:pPr>
        <w:pStyle w:val="CaptionedFigure"/>
      </w:pPr>
      <w:r>
        <w:drawing>
          <wp:inline>
            <wp:extent cx="2852928" cy="1901952"/>
            <wp:effectExtent b="0" l="0" r="0" t="0"/>
            <wp:docPr descr="Photo comparing needle length and bundle count across six pine species (Pinus ponderosa, nigra, resinosa, strobus, sylvestris, banksiana)." title="" id="13" name="Picture"/>
            <a:graphic>
              <a:graphicData uri="http://schemas.openxmlformats.org/drawingml/2006/picture">
                <pic:pic>
                  <pic:nvPicPr>
                    <pic:cNvPr descr="images/pine_needles.jpg" id="14" name="Picture"/>
                    <pic:cNvPicPr>
                      <a:picLocks noChangeArrowheads="1" noChangeAspect="1"/>
                    </pic:cNvPicPr>
                  </pic:nvPicPr>
                  <pic:blipFill>
                    <a:blip r:embed="rId12"/>
                    <a:stretch>
                      <a:fillRect/>
                    </a:stretch>
                  </pic:blipFill>
                  <pic:spPr bwMode="auto">
                    <a:xfrm>
                      <a:off x="0" y="0"/>
                      <a:ext cx="2852928" cy="1901952"/>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w:t>
      </w:r>
    </w:p>
    <w:bookmarkEnd w:id="15"/>
    <w:bookmarkStart w:id="19" w:name="todays-overview"/>
    <w:p>
      <w:pPr>
        <w:pStyle w:val="Heading2"/>
      </w:pPr>
      <w:r>
        <w:t xml:space="preserve">Today’s Overview</w:t>
      </w:r>
    </w:p>
    <w:p>
      <w:pPr>
        <w:pStyle w:val="FirstParagraph"/>
      </w:pPr>
      <w:r>
        <w:t xml:space="preserve">What we will cover today:</w:t>
      </w:r>
    </w:p>
    <w:p>
      <w:pPr>
        <w:pStyle w:val="Compact"/>
        <w:numPr>
          <w:ilvl w:val="0"/>
          <w:numId w:val="1003"/>
        </w:numPr>
      </w:pPr>
      <w:r>
        <w:t xml:space="preserve">What are the assumptions again, and how do you assess them?</w:t>
      </w:r>
    </w:p>
    <w:p>
      <w:pPr>
        <w:pStyle w:val="Compact"/>
        <w:numPr>
          <w:ilvl w:val="0"/>
          <w:numId w:val="1003"/>
        </w:numPr>
      </w:pPr>
      <w:r>
        <w:t xml:space="preserve">What to do when assumptions fail:</w:t>
      </w:r>
    </w:p>
    <w:p>
      <w:pPr>
        <w:pStyle w:val="Compact"/>
        <w:numPr>
          <w:ilvl w:val="1"/>
          <w:numId w:val="1004"/>
        </w:numPr>
      </w:pPr>
      <w:r>
        <w:t xml:space="preserve">Robust tests</w:t>
      </w:r>
    </w:p>
    <w:p>
      <w:pPr>
        <w:pStyle w:val="Compact"/>
        <w:numPr>
          <w:ilvl w:val="1"/>
          <w:numId w:val="1004"/>
        </w:numPr>
      </w:pPr>
      <w:r>
        <w:t xml:space="preserve">Rank-based tests</w:t>
      </w:r>
    </w:p>
    <w:p>
      <w:pPr>
        <w:pStyle w:val="Compact"/>
        <w:numPr>
          <w:ilvl w:val="1"/>
          <w:numId w:val="1004"/>
        </w:numPr>
      </w:pPr>
      <w:r>
        <w:t xml:space="preserve">Permutation tests</w:t>
      </w:r>
    </w:p>
    <w:p>
      <w:pPr>
        <w:pStyle w:val="FirstParagraph"/>
      </w:pPr>
      <w:r>
        <w:t xml:space="preserve">Let’s work with the lake trout data, as the weights are pretty cool and the assumptions may or may not hold. This easily translates to any of the other data frames you might want to use.</w:t>
      </w:r>
    </w:p>
    <w:p>
      <w:pPr>
        <w:pStyle w:val="CaptionedFigure"/>
      </w:pPr>
      <w:r>
        <w:drawing>
          <wp:inline>
            <wp:extent cx="2852928" cy="1261871"/>
            <wp:effectExtent b="0" l="0" r="0" t="0"/>
            <wp:docPr descr="Illustration of a lake trout in profile, showing its mottled brown-and-cream coloring and forked tail, the species whose weight and length data are used throughout this lecture." title="" id="17" name="Picture"/>
            <a:graphic>
              <a:graphicData uri="http://schemas.openxmlformats.org/drawingml/2006/picture">
                <pic:pic>
                  <pic:nvPicPr>
                    <pic:cNvPr descr="images/lake_trout.jpg" id="18" name="Picture"/>
                    <pic:cNvPicPr>
                      <a:picLocks noChangeArrowheads="1" noChangeAspect="1"/>
                    </pic:cNvPicPr>
                  </pic:nvPicPr>
                  <pic:blipFill>
                    <a:blip r:embed="rId16"/>
                    <a:stretch>
                      <a:fillRect/>
                    </a:stretch>
                  </pic:blipFill>
                  <pic:spPr bwMode="auto">
                    <a:xfrm>
                      <a:off x="0" y="0"/>
                      <a:ext cx="2852928" cy="1261871"/>
                    </a:xfrm>
                    <a:prstGeom prst="rect">
                      <a:avLst/>
                    </a:prstGeom>
                    <a:noFill/>
                    <a:ln w="9525">
                      <a:noFill/>
                      <a:headEnd/>
                      <a:tailEnd/>
                    </a:ln>
                  </pic:spPr>
                </pic:pic>
              </a:graphicData>
            </a:graphic>
          </wp:inline>
        </w:drawing>
      </w:r>
    </w:p>
    <w:p>
      <w:pPr>
        <w:pStyle w:val="ImageCaption"/>
      </w:pPr>
      <w:r>
        <w:t xml:space="preserve">Illustration of a lake trout in profile, showing its mottled brown-and-cream coloring and forked tail, the species whose weight and length data are used throughout this lecture.</w:t>
      </w:r>
    </w:p>
    <w:bookmarkEnd w:id="19"/>
    <w:bookmarkStart w:id="20" w:name="part-1-setting-up-our-analysis"/>
    <w:p>
      <w:pPr>
        <w:pStyle w:val="Heading2"/>
      </w:pPr>
      <w:r>
        <w:t xml:space="preserve">Part 1 · Setting Up Our Analysis</w:t>
      </w:r>
    </w:p>
    <w:bookmarkEnd w:id="20"/>
    <w:bookmarkStart w:id="24" w:name="setting-up-our-analysis"/>
    <w:p>
      <w:pPr>
        <w:pStyle w:val="Heading2"/>
      </w:pPr>
      <w:r>
        <w:t xml:space="preserve">Setting Up Our Analysis</w:t>
      </w:r>
    </w:p>
    <w:p>
      <w:pPr>
        <w:pStyle w:val="SourceCode"/>
      </w:pPr>
      <w:r>
        <w:rPr>
          <w:rStyle w:val="CommentTok"/>
        </w:rPr>
        <w:t xml:space="preserve"># Load libraries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Six lakes’ worth of trout:</w:t>
            </w:r>
            <w:r>
              <w:t xml:space="preserve"> </w:t>
            </w:r>
            <w:r>
              <w:rPr>
                <w:rStyle w:val="VerbatimChar"/>
              </w:rPr>
              <w:t xml:space="preserve">sampling_site</w:t>
            </w:r>
            <w:r>
              <w:t xml:space="preserve">,</w:t>
            </w:r>
            <w:r>
              <w:t xml:space="preserve"> </w:t>
            </w:r>
            <w:r>
              <w:rPr>
                <w:rStyle w:val="VerbatimChar"/>
              </w:rPr>
              <w:t xml:space="preserve">species</w:t>
            </w:r>
            <w:r>
              <w:t xml:space="preserve">,</w:t>
            </w:r>
            <w:r>
              <w:t xml:space="preserve"> </w:t>
            </w:r>
            <w:r>
              <w:rPr>
                <w:rStyle w:val="VerbatimChar"/>
              </w:rPr>
              <w:t xml:space="preserve">length_mm</w:t>
            </w:r>
            <w:r>
              <w:t xml:space="preserve">,</w:t>
            </w:r>
            <w:r>
              <w:t xml:space="preserve"> </w:t>
            </w:r>
            <w:r>
              <w:rPr>
                <w:rStyle w:val="VerbatimChar"/>
              </w:rPr>
              <w:t xml:space="preserve">mass_g</w:t>
            </w:r>
            <w:r>
              <w:t xml:space="preserve">,</w:t>
            </w:r>
            <w:r>
              <w:t xml:space="preserve"> </w:t>
            </w:r>
            <w:r>
              <w:rPr>
                <w:rStyle w:val="VerbatimChar"/>
              </w:rPr>
              <w:t xml:space="preserve">lake</w:t>
            </w:r>
            <w:r>
              <w:t xml:space="preserve">.</w:t>
            </w:r>
          </w:p>
          <w:p/>
        </w:tc>
      </w:tr>
    </w:tbl>
    <w:bookmarkEnd w:id="24"/>
    <w:bookmarkStart w:id="27" w:name="calculating-the-mode"/>
    <w:p>
      <w:pPr>
        <w:pStyle w:val="Heading2"/>
      </w:pPr>
      <w:r>
        <w:t xml:space="preserve">Calculating the Mode</w:t>
      </w:r>
    </w:p>
    <w:p>
      <w:pPr>
        <w:pStyle w:val="SourceCode"/>
      </w:pPr>
      <w:r>
        <w:rPr>
          <w:rStyle w:val="CommentTok"/>
        </w:rPr>
        <w:t xml:space="preserve"># I had accidentally asked you to do mode in HW2 without</w:t>
      </w:r>
      <w:r>
        <w:br/>
      </w:r>
      <w:r>
        <w:rPr>
          <w:rStyle w:val="CommentTok"/>
        </w:rPr>
        <w:t xml:space="preserve"># telling you how... here is one approach</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SourceCode"/>
      </w:pPr>
      <w:r>
        <w:rPr>
          <w:rStyle w:val="VerbatimChar"/>
        </w:rPr>
        <w:t xml:space="preserve"># A tibble: 6 × 2</w:t>
      </w:r>
      <w:r>
        <w:br/>
      </w:r>
      <w:r>
        <w:rPr>
          <w:rStyle w:val="VerbatimChar"/>
        </w:rPr>
        <w:t xml:space="preserve"># Groups:   lake [6]</w:t>
      </w:r>
      <w:r>
        <w:br/>
      </w:r>
      <w:r>
        <w:rPr>
          <w:rStyle w:val="VerbatimChar"/>
        </w:rPr>
        <w:t xml:space="preserve">  lake        mode_mass</w:t>
      </w:r>
      <w:r>
        <w:br/>
      </w:r>
      <w:r>
        <w:rPr>
          <w:rStyle w:val="VerbatimChar"/>
        </w:rPr>
        <w:t xml:space="preserve">  &lt;chr&gt;           &lt;dbl&gt;</w:t>
      </w:r>
      <w:r>
        <w:br/>
      </w:r>
      <w:r>
        <w:rPr>
          <w:rStyle w:val="VerbatimChar"/>
        </w:rPr>
        <w:t xml:space="preserve">1 I8               1000</w:t>
      </w:r>
      <w:r>
        <w:br/>
      </w:r>
      <w:r>
        <w:rPr>
          <w:rStyle w:val="VerbatimChar"/>
        </w:rPr>
        <w:t xml:space="preserve">2 Island Lake      2200</w:t>
      </w:r>
      <w:r>
        <w:br/>
      </w:r>
      <w:r>
        <w:rPr>
          <w:rStyle w:val="VerbatimChar"/>
        </w:rPr>
        <w:t xml:space="preserve">3 N 01             1000</w:t>
      </w:r>
      <w:r>
        <w:br/>
      </w:r>
      <w:r>
        <w:rPr>
          <w:rStyle w:val="VerbatimChar"/>
        </w:rPr>
        <w:t xml:space="preserve">4 NE 12              90</w:t>
      </w:r>
      <w:r>
        <w:br/>
      </w:r>
      <w:r>
        <w:rPr>
          <w:rStyle w:val="VerbatimChar"/>
        </w:rPr>
        <w:t xml:space="preserve">5 NE 14            1150</w:t>
      </w:r>
      <w:r>
        <w:br/>
      </w:r>
      <w:r>
        <w:rPr>
          <w:rStyle w:val="VerbatimChar"/>
        </w:rPr>
        <w:t xml:space="preserve">6 Toolik            340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pattern</w:t>
            </w:r>
          </w:p>
          <w:p>
            <w:pPr>
              <w:pStyle w:val="BodyText"/>
            </w:pPr>
            <w:pPr>
              <w:spacing w:after="16"/>
            </w:pPr>
            <w:r>
              <w:t xml:space="preserve">R has no built-in</w:t>
            </w:r>
            <w:r>
              <w:t xml:space="preserve"> </w:t>
            </w:r>
            <w:r>
              <w:rPr>
                <w:rStyle w:val="VerbatimChar"/>
              </w:rPr>
              <w:t xml:space="preserve">mode()</w:t>
            </w:r>
            <w:r>
              <w:t xml:space="preserve"> </w:t>
            </w:r>
            <w:r>
              <w:t xml:space="preserve">function for statistical mode — this</w:t>
            </w:r>
            <w:r>
              <w:t xml:space="preserve"> </w:t>
            </w:r>
            <w:r>
              <w:rPr>
                <w:rStyle w:val="VerbatimChar"/>
              </w:rPr>
              <w:t xml:space="preserve">group_by()</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slice(1)</w:t>
            </w:r>
            <w:r>
              <w:t xml:space="preserve"> </w:t>
            </w:r>
            <w:r>
              <w:t xml:space="preserve">pattern is the standard workaround.</w:t>
            </w:r>
          </w:p>
          <w:p/>
        </w:tc>
      </w:tr>
    </w:tbl>
    <w:bookmarkEnd w:id="27"/>
    <w:bookmarkStart w:id="28" w:name="part-2-assumptions-of-parametric-tests"/>
    <w:p>
      <w:pPr>
        <w:pStyle w:val="Heading2"/>
      </w:pPr>
      <w:r>
        <w:t xml:space="preserve">Part 2 · Assumptions of Parametric Tests</w:t>
      </w:r>
    </w:p>
    <w:bookmarkEnd w:id="28"/>
    <w:bookmarkStart w:id="34" w:name="parametric-vs.-non-parametric-tests"/>
    <w:p>
      <w:pPr>
        <w:pStyle w:val="Heading2"/>
      </w:pPr>
      <w:r>
        <w:t xml:space="preserve">Parametric vs. Non-Parametric Tests</w:t>
      </w:r>
    </w:p>
    <w:p>
      <w:pPr>
        <w:pStyle w:val="FirstParagraph"/>
      </w:pPr>
      <w:r>
        <w:t xml:space="preserve">T-tests are</w:t>
      </w:r>
      <w:r>
        <w:t xml:space="preserve"> </w:t>
      </w:r>
      <w:r>
        <w:rPr>
          <w:b/>
          <w:bCs/>
        </w:rPr>
        <w:t xml:space="preserve">parametric</w:t>
      </w:r>
      <w:r>
        <w:t xml:space="preserve"> </w:t>
      </w:r>
      <w:r>
        <w:t xml:space="preserve">tests.</w:t>
      </w:r>
    </w:p>
    <w:p>
      <w:pPr>
        <w:pStyle w:val="Compact"/>
        <w:numPr>
          <w:ilvl w:val="0"/>
          <w:numId w:val="1005"/>
        </w:numPr>
      </w:pPr>
      <w:r>
        <w:rPr>
          <w:b/>
          <w:bCs/>
        </w:rPr>
        <w:t xml:space="preserve">Parametric tests:</w:t>
      </w:r>
    </w:p>
    <w:p>
      <w:pPr>
        <w:pStyle w:val="Compact"/>
        <w:numPr>
          <w:ilvl w:val="1"/>
          <w:numId w:val="1006"/>
        </w:numPr>
      </w:pPr>
      <w:r>
        <w:t xml:space="preserve">specify/assume the probability distribution the parameters came from</w:t>
      </w:r>
    </w:p>
    <w:p>
      <w:pPr>
        <w:pStyle w:val="Compact"/>
        <w:numPr>
          <w:ilvl w:val="1"/>
          <w:numId w:val="1006"/>
        </w:numPr>
      </w:pPr>
      <w:r>
        <w:t xml:space="preserve">basic assumptions of parametric t-tests: random sampling, normality, equal variance (or Welch’s t-test), no outliers</w:t>
      </w:r>
    </w:p>
    <w:p>
      <w:pPr>
        <w:pStyle w:val="Compact"/>
        <w:numPr>
          <w:ilvl w:val="0"/>
          <w:numId w:val="1005"/>
        </w:numPr>
      </w:pPr>
      <w:r>
        <w:rPr>
          <w:b/>
          <w:bCs/>
        </w:rPr>
        <w:t xml:space="preserve">Non-parametric tests:</w:t>
      </w:r>
      <w:r>
        <w:t xml:space="preserve"> </w:t>
      </w:r>
      <w:r>
        <w:t xml:space="preserve">no assumption about the probability distribution/normality</w:t>
      </w:r>
    </w:p>
    <w:p>
      <w:pPr>
        <w:pStyle w:val="Compact"/>
        <w:numPr>
          <w:ilvl w:val="1"/>
          <w:numId w:val="1007"/>
        </w:numPr>
      </w:pPr>
      <w:r>
        <w:t xml:space="preserve">Mukasa et al. 2021, DOI: 10.4236/ojbm.2021.93081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13 — Handling Violations of Assumptions, is the core reference for this whole lecture.</w:t>
            </w:r>
          </w:p>
          <w:p/>
        </w:tc>
      </w:tr>
    </w:tbl>
    <w:p>
      <w:pPr>
        <w:pStyle w:val="CaptionedFigure"/>
      </w:pPr>
      <w:r>
        <w:drawing>
          <wp:inline>
            <wp:extent cx="2852928" cy="2432304"/>
            <wp:effectExtent b="0" l="0" r="0" t="0"/>
            <wp:docPr descr="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 title="" id="32" name="Picture"/>
            <a:graphic>
              <a:graphicData uri="http://schemas.openxmlformats.org/drawingml/2006/picture">
                <pic:pic>
                  <pic:nvPicPr>
                    <pic:cNvPr descr="images/clipboard-2948249782.png" id="33" name="Picture"/>
                    <pic:cNvPicPr>
                      <a:picLocks noChangeArrowheads="1" noChangeAspect="1"/>
                    </pic:cNvPicPr>
                  </pic:nvPicPr>
                  <pic:blipFill>
                    <a:blip r:embed="rId31"/>
                    <a:stretch>
                      <a:fillRect/>
                    </a:stretch>
                  </pic:blipFill>
                  <pic:spPr bwMode="auto">
                    <a:xfrm>
                      <a:off x="0" y="0"/>
                      <a:ext cx="2852928" cy="2432304"/>
                    </a:xfrm>
                    <a:prstGeom prst="rect">
                      <a:avLst/>
                    </a:prstGeom>
                    <a:noFill/>
                    <a:ln w="9525">
                      <a:noFill/>
                      <a:headEnd/>
                      <a:tailEnd/>
                    </a:ln>
                  </pic:spPr>
                </pic:pic>
              </a:graphicData>
            </a:graphic>
          </wp:inline>
        </w:drawing>
      </w:r>
    </w:p>
    <w:p>
      <w:pPr>
        <w:pStyle w:val="ImageCaption"/>
      </w:pPr>
      <w:r>
        <w:t xml:space="preserve">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w:t>
      </w:r>
    </w:p>
    <w:bookmarkEnd w:id="34"/>
    <w:bookmarkStart w:id="38" w:name="assumptions-of-parametric-tests-overview"/>
    <w:p>
      <w:pPr>
        <w:pStyle w:val="Heading2"/>
      </w:pPr>
      <w:r>
        <w:t xml:space="preserve">Assumptions of Parametric Tests — Overview</w:t>
      </w:r>
    </w:p>
    <w:p>
      <w:pPr>
        <w:pStyle w:val="Compact"/>
        <w:numPr>
          <w:ilvl w:val="0"/>
          <w:numId w:val="1008"/>
        </w:numPr>
      </w:pPr>
      <w:r>
        <w:t xml:space="preserve">If a parametric test’s assumptions are violated, the test becomes unreliable</w:t>
      </w:r>
    </w:p>
    <w:p>
      <w:pPr>
        <w:pStyle w:val="Compact"/>
        <w:numPr>
          <w:ilvl w:val="0"/>
          <w:numId w:val="1008"/>
        </w:numPr>
      </w:pPr>
      <w:r>
        <w:t xml:space="preserve">This is because the test statistic may no longer follow the distribution it’s supposed to</w:t>
      </w:r>
    </w:p>
    <w:p>
      <w:pPr>
        <w:pStyle w:val="Compact"/>
        <w:numPr>
          <w:ilvl w:val="0"/>
          <w:numId w:val="1008"/>
        </w:numPr>
      </w:pPr>
      <w:r>
        <w:t xml:space="preserve">Most parametric tests are robust to mild/moderate violations of normality</w:t>
      </w:r>
    </w:p>
    <w:p>
      <w:pPr>
        <w:pStyle w:val="CaptionedFigure"/>
      </w:pPr>
      <w:r>
        <w:drawing>
          <wp:inline>
            <wp:extent cx="2852928" cy="2377440"/>
            <wp:effectExtent b="0" l="0" r="0" t="0"/>
            <wp:docPr descr="Three probability density curves for a right-skewed distribution family at different sigma values (0.25, 0.5, 1) with mu = 0, showing how larger sigma produces a flatter, more spread-out, and less peaked skewed curve." title="" id="36" name="Picture"/>
            <a:graphic>
              <a:graphicData uri="http://schemas.openxmlformats.org/drawingml/2006/picture">
                <pic:pic>
                  <pic:nvPicPr>
                    <pic:cNvPr descr="images/clipboard-286482702.png" id="37" name="Picture"/>
                    <pic:cNvPicPr>
                      <a:picLocks noChangeArrowheads="1" noChangeAspect="1"/>
                    </pic:cNvPicPr>
                  </pic:nvPicPr>
                  <pic:blipFill>
                    <a:blip r:embed="rId35"/>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Three probability density curves for a right-skewed distribution family at different sigma values (0.25, 0.5, 1) with mu = 0, showing how larger sigma produces a flatter, more spread-out, and less peaked skewed curve.</w:t>
      </w:r>
    </w:p>
    <w:bookmarkEnd w:id="38"/>
    <w:bookmarkStart w:id="42" w:name="assumptions-random-sampling"/>
    <w:p>
      <w:pPr>
        <w:pStyle w:val="Heading2"/>
      </w:pPr>
      <w:r>
        <w:t xml:space="preserve">Assumptions — Random Sampling</w:t>
      </w:r>
    </w:p>
    <w:p>
      <w:pPr>
        <w:pStyle w:val="FirstParagraph"/>
      </w:pPr>
      <w:r>
        <w:t xml:space="preserve">Basic assumptions of parametric t-tests: random sampling, normality, equal variance, no outliers.</w:t>
      </w:r>
    </w:p>
    <w:p>
      <w:pPr>
        <w:pStyle w:val="BodyText"/>
      </w:pPr>
      <w:r>
        <w:rPr>
          <w:b/>
          <w:bCs/>
        </w:rPr>
        <w:t xml:space="preserve">Random sampling:</w:t>
      </w:r>
    </w:p>
    <w:p>
      <w:pPr>
        <w:pStyle w:val="Compact"/>
        <w:numPr>
          <w:ilvl w:val="0"/>
          <w:numId w:val="1009"/>
        </w:numPr>
      </w:pPr>
      <w:r>
        <w:t xml:space="preserve">samples are randomly collected from populations; part of experimental design</w:t>
      </w:r>
    </w:p>
    <w:p>
      <w:pPr>
        <w:pStyle w:val="Compact"/>
        <w:numPr>
          <w:ilvl w:val="0"/>
          <w:numId w:val="1009"/>
        </w:numPr>
      </w:pPr>
      <w:r>
        <w:t xml:space="preserve">necessary for sample → population inference</w:t>
      </w:r>
    </w:p>
    <w:p>
      <w:pPr>
        <w:pStyle w:val="CaptionedFigure"/>
      </w:pPr>
      <w:r>
        <w:drawing>
          <wp:inline>
            <wp:extent cx="2304288" cy="2770632"/>
            <wp:effectExtent b="0" l="0" r="0" t="0"/>
            <wp:docPr descr="Diagram of a large circle labeled ‘population’ full of dots, with orange arrows showing a subset being drawn down into a small circle labeled ‘sample’, illustrating random sampling from a population." title="" id="40" name="Picture"/>
            <a:graphic>
              <a:graphicData uri="http://schemas.openxmlformats.org/drawingml/2006/picture">
                <pic:pic>
                  <pic:nvPicPr>
                    <pic:cNvPr descr="images/clipboard-2526616735.png" id="41" name="Picture"/>
                    <pic:cNvPicPr>
                      <a:picLocks noChangeArrowheads="1" noChangeAspect="1"/>
                    </pic:cNvPicPr>
                  </pic:nvPicPr>
                  <pic:blipFill>
                    <a:blip r:embed="rId39"/>
                    <a:stretch>
                      <a:fillRect/>
                    </a:stretch>
                  </pic:blipFill>
                  <pic:spPr bwMode="auto">
                    <a:xfrm>
                      <a:off x="0" y="0"/>
                      <a:ext cx="2304288" cy="27706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orange arrows showing a subset being drawn down into a small circle labeled</w:t>
      </w:r>
      <w:r>
        <w:t xml:space="preserve"> </w:t>
      </w:r>
      <w:r>
        <w:t xml:space="preserve">‘sample’</w:t>
      </w:r>
      <w:r>
        <w:t xml:space="preserve">, illustrating random sampling from a population.</w:t>
      </w:r>
    </w:p>
    <w:bookmarkEnd w:id="42"/>
    <w:bookmarkStart w:id="48" w:name="assumptions-normality-testing"/>
    <w:p>
      <w:pPr>
        <w:pStyle w:val="Heading2"/>
      </w:pPr>
      <w:r>
        <w:t xml:space="preserve">Assumptions — Normality Testing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look at histogram, dotplot, boxplot, and QQ-plot views of the</w:t>
            </w:r>
            <w:r>
              <w:t xml:space="preserve"> </w:t>
            </w:r>
            <w:r>
              <w:rPr>
                <w:i/>
                <w:iCs/>
              </w:rPr>
              <w:t xml:space="preserve">same</w:t>
            </w:r>
            <w:r>
              <w:t xml:space="preserve"> </w:t>
            </w:r>
            <w:r>
              <w:t xml:space="preserve">NE 12 mass data. Which of the four do you expect to be most convincing about normality?</w:t>
            </w:r>
          </w:p>
          <w:p/>
        </w:tc>
      </w:tr>
    </w:tbl>
    <w:p>
      <w:pPr>
        <w:pStyle w:val="BodyText"/>
      </w:pPr>
      <w:r>
        <w:t xml:space="preserve">Let’s test normality for one lake —</w:t>
      </w:r>
      <w:r>
        <w:t xml:space="preserve"> </w:t>
      </w:r>
      <w:r>
        <w:rPr>
          <w:rStyle w:val="VerbatimChar"/>
          <w:b/>
          <w:bCs/>
        </w:rPr>
        <w:t xml:space="preserve">NE 12</w:t>
      </w:r>
      <w:r>
        <w:t xml:space="preserve"> </w:t>
      </w:r>
      <w:r>
        <w:t xml:space="preserve">— as if we were going to run a one-sample t-test. We need a new data frame with only NE 12 data, called</w:t>
      </w:r>
      <w:r>
        <w:t xml:space="preserve"> </w:t>
      </w:r>
      <w:r>
        <w:rPr>
          <w:rStyle w:val="VerbatimChar"/>
        </w:rPr>
        <w:t xml:space="preserve">ne12_data</w:t>
      </w:r>
      <w:r>
        <w:t xml:space="preserve">.</w:t>
      </w:r>
    </w:p>
    <w:p>
      <w:pPr>
        <w:pStyle w:val="BodyText"/>
      </w:pPr>
      <w:r>
        <w:rPr>
          <w:b/>
          <w:bCs/>
        </w:rPr>
        <w:t xml:space="preserve">Normality:</w:t>
      </w:r>
      <w:r>
        <w:t xml:space="preserve"> </w:t>
      </w:r>
      <w:r>
        <w:t xml:space="preserve">samples from a normally distributed population</w:t>
      </w:r>
    </w:p>
    <w:p>
      <w:pPr>
        <w:pStyle w:val="Compact"/>
        <w:numPr>
          <w:ilvl w:val="0"/>
          <w:numId w:val="1010"/>
        </w:numPr>
      </w:pPr>
      <w:r>
        <w:t xml:space="preserve">Graphical tests: histograms, dotplots, boxplots,</w:t>
      </w:r>
      <w:r>
        <w:t xml:space="preserve"> </w:t>
      </w:r>
      <w:r>
        <w:rPr>
          <w:b/>
          <w:bCs/>
        </w:rPr>
        <w:t xml:space="preserve">QQ-plots</w:t>
      </w:r>
    </w:p>
    <w:p>
      <w:pPr>
        <w:pStyle w:val="Compact"/>
        <w:numPr>
          <w:ilvl w:val="0"/>
          <w:numId w:val="1010"/>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FirstParagraph"/>
      </w:pPr>
      <w:r>
        <w:drawing>
          <wp:inline>
            <wp:extent cx="3669832" cy="3302849"/>
            <wp:effectExtent b="0" l="0" r="0" t="0"/>
            <wp:docPr descr="" title="" id="46" name="Picture"/>
            <a:graphic>
              <a:graphicData uri="http://schemas.openxmlformats.org/drawingml/2006/picture">
                <pic:pic>
                  <pic:nvPicPr>
                    <pic:cNvPr descr="nonparametric_t_tests_lecture_files/figure-docx/nonparametric-t-tests-04-1.png" id="47" name="Picture"/>
                    <pic:cNvPicPr>
                      <a:picLocks noChangeArrowheads="1" noChangeAspect="1"/>
                    </pic:cNvPicPr>
                  </pic:nvPicPr>
                  <pic:blipFill>
                    <a:blip r:embed="rId45"/>
                    <a:stretch>
                      <a:fillRect/>
                    </a:stretch>
                  </pic:blipFill>
                  <pic:spPr bwMode="auto">
                    <a:xfrm>
                      <a:off x="0" y="0"/>
                      <a:ext cx="3669832" cy="3302849"/>
                    </a:xfrm>
                    <a:prstGeom prst="rect">
                      <a:avLst/>
                    </a:prstGeom>
                    <a:noFill/>
                    <a:ln w="9525">
                      <a:noFill/>
                      <a:headEnd/>
                      <a:tailEnd/>
                    </a:ln>
                  </pic:spPr>
                </pic:pic>
              </a:graphicData>
            </a:graphic>
          </wp:inline>
        </w:drawing>
      </w:r>
    </w:p>
    <w:bookmarkEnd w:id="48"/>
    <w:bookmarkStart w:id="49" w:name="shapiro-wilk-test-for-normality"/>
    <w:p>
      <w:pPr>
        <w:pStyle w:val="Heading2"/>
      </w:pPr>
      <w:r>
        <w:t xml:space="preserve">Shapiro-Wilk Test for Normality</w:t>
      </w:r>
    </w:p>
    <w:p>
      <w:pPr>
        <w:pStyle w:val="FirstParagraph"/>
      </w:pPr>
      <w:r>
        <w:t xml:space="preserve">“Null hypothesis is that data is normally distributed.”</w:t>
      </w:r>
    </w:p>
    <w:p>
      <w:pPr>
        <w:pStyle w:val="Compact"/>
        <w:numPr>
          <w:ilvl w:val="0"/>
          <w:numId w:val="1011"/>
        </w:numPr>
      </w:pPr>
      <w:r>
        <w:t xml:space="preserve">Normality: samples from a normally distributed population</w:t>
      </w:r>
    </w:p>
    <w:p>
      <w:pPr>
        <w:pStyle w:val="Compact"/>
        <w:numPr>
          <w:ilvl w:val="0"/>
          <w:numId w:val="1011"/>
        </w:numPr>
      </w:pPr>
      <w:r>
        <w:t xml:space="preserve">Graphical tests: histograms, dotplots, boxplots,</w:t>
      </w:r>
      <w:r>
        <w:t xml:space="preserve"> </w:t>
      </w:r>
      <w:r>
        <w:rPr>
          <w:b/>
          <w:bCs/>
        </w:rPr>
        <w:t xml:space="preserve">QQ-plots</w:t>
      </w:r>
    </w:p>
    <w:p>
      <w:pPr>
        <w:pStyle w:val="Compact"/>
        <w:numPr>
          <w:ilvl w:val="0"/>
          <w:numId w:val="1011"/>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SourceCode"/>
      </w:pPr>
      <w:r>
        <w:br/>
      </w:r>
      <w:r>
        <w:rPr>
          <w:rStyle w:val="VerbatimChar"/>
        </w:rPr>
        <w:t xml:space="preserve">    Shapiro-Wilk normality test</w:t>
      </w:r>
      <w:r>
        <w:br/>
      </w:r>
      <w:r>
        <w:br/>
      </w:r>
      <w:r>
        <w:rPr>
          <w:rStyle w:val="VerbatimChar"/>
        </w:rPr>
        <w:t xml:space="preserve">data:  ne12_data$length_mm</w:t>
      </w:r>
      <w:r>
        <w:br/>
      </w:r>
      <w:r>
        <w:rPr>
          <w:rStyle w:val="VerbatimChar"/>
        </w:rPr>
        <w:t xml:space="preserve">W = 0.94528, p-value = 1.56e-09</w:t>
      </w:r>
    </w:p>
    <w:bookmarkEnd w:id="49"/>
    <w:bookmarkStart w:id="53" w:name="testing-the-equal-variance-assumption"/>
    <w:p>
      <w:pPr>
        <w:pStyle w:val="Heading2"/>
      </w:pPr>
      <w:r>
        <w:t xml:space="preserve">Testing the Equal Variance Assumption</w:t>
      </w:r>
    </w:p>
    <w:p>
      <w:pPr>
        <w:pStyle w:val="FirstParagraph"/>
      </w:pPr>
      <w:r>
        <w:rPr>
          <w:b/>
          <w:bCs/>
        </w:rPr>
        <w:t xml:space="preserve">Equal variance:</w:t>
      </w:r>
      <w:r>
        <w:t xml:space="preserve"> </w:t>
      </w:r>
      <w:r>
        <w:t xml:space="preserve">samples are from populations with a similar degree of variability.</w:t>
      </w:r>
    </w:p>
    <w:p>
      <w:pPr>
        <w:pStyle w:val="Compact"/>
        <w:numPr>
          <w:ilvl w:val="0"/>
          <w:numId w:val="1012"/>
        </w:numPr>
      </w:pPr>
      <w:r>
        <w:t xml:space="preserve">Graphical tests: boxplots</w:t>
      </w:r>
    </w:p>
    <w:p>
      <w:pPr>
        <w:pStyle w:val="Compact"/>
        <w:numPr>
          <w:ilvl w:val="0"/>
          <w:numId w:val="1012"/>
        </w:numPr>
      </w:pPr>
      <w:r>
        <w:t xml:space="preserve">“Formal”</w:t>
      </w:r>
      <w:r>
        <w:t xml:space="preserve"> </w:t>
      </w:r>
      <w:r>
        <w:t xml:space="preserve">tests: F-ratio test</w:t>
      </w:r>
    </w:p>
    <w:p>
      <w:pPr>
        <w:pStyle w:val="Compact"/>
        <w:numPr>
          <w:ilvl w:val="0"/>
          <w:numId w:val="1012"/>
        </w:numPr>
      </w:pPr>
      <w:r>
        <w:t xml:space="preserve">When sample sizes are equal, parametric tests are most robust to violations of normality — less so for equal variance</w:t>
      </w:r>
    </w:p>
    <w:p>
      <w:pPr>
        <w:pStyle w:val="FirstParagraph"/>
      </w:pPr>
      <w:r>
        <w:drawing>
          <wp:inline>
            <wp:extent cx="2935866" cy="2568882"/>
            <wp:effectExtent b="0" l="0" r="0" t="0"/>
            <wp:docPr descr="" title="" id="51" name="Picture"/>
            <a:graphic>
              <a:graphicData uri="http://schemas.openxmlformats.org/drawingml/2006/picture">
                <pic:pic>
                  <pic:nvPicPr>
                    <pic:cNvPr descr="nonparametric_t_tests_lecture_files/figure-docx/nonparametric-t-tests-06-1.png" id="52" name="Picture"/>
                    <pic:cNvPicPr>
                      <a:picLocks noChangeArrowheads="1" noChangeAspect="1"/>
                    </pic:cNvPicPr>
                  </pic:nvPicPr>
                  <pic:blipFill>
                    <a:blip r:embed="rId50"/>
                    <a:stretch>
                      <a:fillRect/>
                    </a:stretch>
                  </pic:blipFill>
                  <pic:spPr bwMode="auto">
                    <a:xfrm>
                      <a:off x="0" y="0"/>
                      <a:ext cx="2935866" cy="2568882"/>
                    </a:xfrm>
                    <a:prstGeom prst="rect">
                      <a:avLst/>
                    </a:prstGeom>
                    <a:noFill/>
                    <a:ln w="9525">
                      <a:noFill/>
                      <a:headEnd/>
                      <a:tailEnd/>
                    </a:ln>
                  </pic:spPr>
                </pic:pic>
              </a:graphicData>
            </a:graphic>
          </wp:inline>
        </w:drawing>
      </w:r>
    </w:p>
    <w:bookmarkEnd w:id="53"/>
    <w:bookmarkStart w:id="60" w:name="testing-for-outliers"/>
    <w:p>
      <w:pPr>
        <w:pStyle w:val="Heading2"/>
      </w:pPr>
      <w:r>
        <w:t xml:space="preserve">Testing for Outliers</w:t>
      </w:r>
    </w:p>
    <w:p>
      <w:pPr>
        <w:pStyle w:val="FirstParagraph"/>
      </w:pPr>
      <w:r>
        <w:rPr>
          <w:b/>
          <w:bCs/>
        </w:rPr>
        <w:t xml:space="preserve">No outliers:</w:t>
      </w:r>
      <w:r>
        <w:t xml:space="preserve"> </w:t>
      </w:r>
      <w:r>
        <w:t xml:space="preserve">no</w:t>
      </w:r>
      <w:r>
        <w:t xml:space="preserve"> </w:t>
      </w:r>
      <w:r>
        <w:t xml:space="preserve">“extreme”</w:t>
      </w:r>
      <w:r>
        <w:t xml:space="preserve"> </w:t>
      </w:r>
      <w:r>
        <w:t xml:space="preserve">values very different from the rest of the sample.</w:t>
      </w:r>
    </w:p>
    <w:p>
      <w:pPr>
        <w:pStyle w:val="Compact"/>
        <w:numPr>
          <w:ilvl w:val="0"/>
          <w:numId w:val="1013"/>
        </w:numPr>
      </w:pPr>
      <w:r>
        <w:t xml:space="preserve">Graphical tests: boxplots, histograms</w:t>
      </w:r>
    </w:p>
    <w:p>
      <w:pPr>
        <w:pStyle w:val="Compact"/>
        <w:numPr>
          <w:ilvl w:val="0"/>
          <w:numId w:val="1013"/>
        </w:numPr>
      </w:pPr>
      <w:r>
        <w:t xml:space="preserve">“Formal tests”</w:t>
      </w:r>
      <w:r>
        <w:t xml:space="preserve">: Grubbs’ test — no one really does this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Outliers are a problem for non-parametric tests as well — switching to a rank-based test doesn’t make an outlier stop mattering.</w:t>
            </w:r>
          </w:p>
          <w:p/>
        </w:tc>
      </w:tr>
    </w:tbl>
    <w:p>
      <w:pPr>
        <w:pStyle w:val="BodyText"/>
      </w:pPr>
      <w:r>
        <w:drawing>
          <wp:inline>
            <wp:extent cx="2935866" cy="2568882"/>
            <wp:effectExtent b="0" l="0" r="0" t="0"/>
            <wp:docPr descr="" title="" id="58" name="Picture"/>
            <a:graphic>
              <a:graphicData uri="http://schemas.openxmlformats.org/drawingml/2006/picture">
                <pic:pic>
                  <pic:nvPicPr>
                    <pic:cNvPr descr="nonparametric_t_tests_lecture_files/figure-docx/nonparametric-t-tests-07-1.png" id="59" name="Picture"/>
                    <pic:cNvPicPr>
                      <a:picLocks noChangeArrowheads="1" noChangeAspect="1"/>
                    </pic:cNvPicPr>
                  </pic:nvPicPr>
                  <pic:blipFill>
                    <a:blip r:embed="rId57"/>
                    <a:stretch>
                      <a:fillRect/>
                    </a:stretch>
                  </pic:blipFill>
                  <pic:spPr bwMode="auto">
                    <a:xfrm>
                      <a:off x="0" y="0"/>
                      <a:ext cx="2935866" cy="2568882"/>
                    </a:xfrm>
                    <a:prstGeom prst="rect">
                      <a:avLst/>
                    </a:prstGeom>
                    <a:noFill/>
                    <a:ln w="9525">
                      <a:noFill/>
                      <a:headEnd/>
                      <a:tailEnd/>
                    </a:ln>
                  </pic:spPr>
                </pic:pic>
              </a:graphicData>
            </a:graphic>
          </wp:inline>
        </w:drawing>
      </w:r>
    </w:p>
    <w:bookmarkEnd w:id="60"/>
    <w:bookmarkStart w:id="61" w:name="part-3-when-assumptions-fail"/>
    <w:p>
      <w:pPr>
        <w:pStyle w:val="Heading2"/>
      </w:pPr>
      <w:r>
        <w:t xml:space="preserve">Part 3 · When Assumptions Fail</w:t>
      </w:r>
    </w:p>
    <w:bookmarkEnd w:id="61"/>
    <w:bookmarkStart w:id="65" w:name="alternative-tests-when-assumptions-fail"/>
    <w:p>
      <w:pPr>
        <w:pStyle w:val="Heading2"/>
      </w:pPr>
      <w:r>
        <w:t xml:space="preserve">Alternative Tests When Assumptions Fail</w:t>
      </w:r>
    </w:p>
    <w:p>
      <w:pPr>
        <w:pStyle w:val="FirstParagraph"/>
      </w:pPr>
      <w:r>
        <w:t xml:space="preserve">What if t-test assumptions fail? Alternative tests, with more relaxed assumptions, are available. In which case would you use each?</w:t>
      </w:r>
    </w:p>
    <w:p>
      <w:pPr>
        <w:pStyle w:val="Compact"/>
        <w:numPr>
          <w:ilvl w:val="0"/>
          <w:numId w:val="1014"/>
        </w:numPr>
      </w:pPr>
      <w:r>
        <w:rPr>
          <w:b/>
          <w:bCs/>
        </w:rPr>
        <w:t xml:space="preserve">Welch’s t-test:</w:t>
      </w:r>
      <w:r>
        <w:t xml:space="preserve"> </w:t>
      </w:r>
      <w:r>
        <w:rPr>
          <w:i/>
          <w:iCs/>
        </w:rPr>
        <w:t xml:space="preserve">distribution normal but variance unequal</w:t>
      </w:r>
    </w:p>
    <w:p>
      <w:pPr>
        <w:pStyle w:val="Compact"/>
        <w:numPr>
          <w:ilvl w:val="0"/>
          <w:numId w:val="1014"/>
        </w:numPr>
      </w:pPr>
      <w:r>
        <w:rPr>
          <w:b/>
          <w:bCs/>
        </w:rPr>
        <w:t xml:space="preserve">Mann-Whitney-Wilcoxon test:</w:t>
      </w:r>
      <w:r>
        <w:t xml:space="preserve"> </w:t>
      </w:r>
      <w:r>
        <w:rPr>
          <w:i/>
          <w:iCs/>
        </w:rPr>
        <w:t xml:space="preserve">distribution not normal and/or outliers present (but both groups should still have similar distributions and ~equal variance)</w:t>
      </w:r>
    </w:p>
    <w:p>
      <w:pPr>
        <w:pStyle w:val="Compact"/>
        <w:numPr>
          <w:ilvl w:val="0"/>
          <w:numId w:val="1014"/>
        </w:numPr>
      </w:pPr>
      <w:r>
        <w:rPr>
          <w:b/>
          <w:bCs/>
        </w:rPr>
        <w:t xml:space="preserve">Permutation test for two samples:</w:t>
      </w:r>
      <w:r>
        <w:t xml:space="preserve"> </w:t>
      </w:r>
      <w:r>
        <w:rPr>
          <w:i/>
          <w:iCs/>
        </w:rPr>
        <w:t xml:space="preserve">distribution not normal (but both groups should still have similar distributions and ~equal variance)</w:t>
      </w:r>
    </w:p>
    <w:p>
      <w:pPr>
        <w:pStyle w:val="FirstParagraph"/>
      </w:pPr>
      <w:r>
        <w:drawing>
          <wp:inline>
            <wp:extent cx="2935866" cy="3669832"/>
            <wp:effectExtent b="0" l="0" r="0" t="0"/>
            <wp:docPr descr="" title="" id="63" name="Picture"/>
            <a:graphic>
              <a:graphicData uri="http://schemas.openxmlformats.org/drawingml/2006/picture">
                <pic:pic>
                  <pic:nvPicPr>
                    <pic:cNvPr descr="nonparametric_t_tests_lecture_files/figure-docx/nonparametric-t-tests-08-1.png" id="64" name="Picture"/>
                    <pic:cNvPicPr>
                      <a:picLocks noChangeArrowheads="1" noChangeAspect="1"/>
                    </pic:cNvPicPr>
                  </pic:nvPicPr>
                  <pic:blipFill>
                    <a:blip r:embed="rId62"/>
                    <a:stretch>
                      <a:fillRect/>
                    </a:stretch>
                  </pic:blipFill>
                  <pic:spPr bwMode="auto">
                    <a:xfrm>
                      <a:off x="0" y="0"/>
                      <a:ext cx="2935866" cy="3669832"/>
                    </a:xfrm>
                    <a:prstGeom prst="rect">
                      <a:avLst/>
                    </a:prstGeom>
                    <a:noFill/>
                    <a:ln w="9525">
                      <a:noFill/>
                      <a:headEnd/>
                      <a:tailEnd/>
                    </a:ln>
                  </pic:spPr>
                </pic:pic>
              </a:graphicData>
            </a:graphic>
          </wp:inline>
        </w:drawing>
      </w:r>
    </w:p>
    <w:bookmarkEnd w:id="65"/>
    <w:bookmarkStart w:id="69" w:name="understanding-qq-plots"/>
    <w:p>
      <w:pPr>
        <w:pStyle w:val="Heading2"/>
      </w:pPr>
      <w:r>
        <w:t xml:space="preserve">Understanding QQ-Plots</w:t>
      </w:r>
    </w:p>
    <w:p>
      <w:pPr>
        <w:pStyle w:val="FirstParagraph"/>
      </w:pPr>
      <w:r>
        <w:rPr>
          <w:b/>
          <w:bCs/>
        </w:rPr>
        <w:t xml:space="preserve">QQ-plots:</w:t>
      </w:r>
      <w:r>
        <w:t xml:space="preserve"> </w:t>
      </w:r>
      <w:r>
        <w:t xml:space="preserve">a tool for assessing normality.</w:t>
      </w:r>
    </w:p>
    <w:p>
      <w:pPr>
        <w:pStyle w:val="Compact"/>
        <w:numPr>
          <w:ilvl w:val="0"/>
          <w:numId w:val="1015"/>
        </w:numPr>
      </w:pPr>
      <w:r>
        <w:t xml:space="preserve">On x: theoretical quantiles from a standard normal distribution</w:t>
      </w:r>
    </w:p>
    <w:p>
      <w:pPr>
        <w:pStyle w:val="Compact"/>
        <w:numPr>
          <w:ilvl w:val="0"/>
          <w:numId w:val="1015"/>
        </w:numPr>
      </w:pPr>
      <w:r>
        <w:t xml:space="preserve">On y: ordered sample values</w:t>
      </w:r>
    </w:p>
    <w:p>
      <w:pPr>
        <w:pStyle w:val="Compact"/>
        <w:numPr>
          <w:ilvl w:val="0"/>
          <w:numId w:val="1015"/>
        </w:numPr>
      </w:pPr>
      <w:r>
        <w:t xml:space="preserve">Deviation from normal can be detected as deviation from a straight line</w:t>
      </w:r>
    </w:p>
    <w:p>
      <w:pPr>
        <w:pStyle w:val="FirstParagraph"/>
      </w:pPr>
      <w:r>
        <w:drawing>
          <wp:inline>
            <wp:extent cx="3119357" cy="2568882"/>
            <wp:effectExtent b="0" l="0" r="0" t="0"/>
            <wp:docPr descr="" title="" id="67" name="Picture"/>
            <a:graphic>
              <a:graphicData uri="http://schemas.openxmlformats.org/drawingml/2006/picture">
                <pic:pic>
                  <pic:nvPicPr>
                    <pic:cNvPr descr="nonparametric_t_tests_lecture_files/figure-docx/nonparametric-t-tests-09-1.png" id="68" name="Picture"/>
                    <pic:cNvPicPr>
                      <a:picLocks noChangeArrowheads="1" noChangeAspect="1"/>
                    </pic:cNvPicPr>
                  </pic:nvPicPr>
                  <pic:blipFill>
                    <a:blip r:embed="rId66"/>
                    <a:stretch>
                      <a:fillRect/>
                    </a:stretch>
                  </pic:blipFill>
                  <pic:spPr bwMode="auto">
                    <a:xfrm>
                      <a:off x="0" y="0"/>
                      <a:ext cx="3119357" cy="2568882"/>
                    </a:xfrm>
                    <a:prstGeom prst="rect">
                      <a:avLst/>
                    </a:prstGeom>
                    <a:noFill/>
                    <a:ln w="9525">
                      <a:noFill/>
                      <a:headEnd/>
                      <a:tailEnd/>
                    </a:ln>
                  </pic:spPr>
                </pic:pic>
              </a:graphicData>
            </a:graphic>
          </wp:inline>
        </w:drawing>
      </w:r>
    </w:p>
    <w:bookmarkEnd w:id="69"/>
    <w:bookmarkStart w:id="74" w:name="data-transformations"/>
    <w:p>
      <w:pPr>
        <w:pStyle w:val="Heading2"/>
      </w:pPr>
      <w:r>
        <w:t xml:space="preserve">Data Transformations</w:t>
      </w:r>
    </w:p>
    <w:p>
      <w:pPr>
        <w:pStyle w:val="FirstParagraph"/>
      </w:pPr>
      <w:r>
        <w:t xml:space="preserve">In some cases, data can be mathematically</w:t>
      </w:r>
      <w:r>
        <w:t xml:space="preserve"> </w:t>
      </w:r>
      <w:r>
        <w:t xml:space="preserve">“transformed”</w:t>
      </w:r>
      <w:r>
        <w:t xml:space="preserve"> </w:t>
      </w:r>
      <w:r>
        <w:t xml:space="preserve">to meet the assumptions of parametric tests. This can be done in R and usually involves:</w:t>
      </w:r>
    </w:p>
    <w:p>
      <w:pPr>
        <w:pStyle w:val="Compact"/>
        <w:numPr>
          <w:ilvl w:val="0"/>
          <w:numId w:val="1016"/>
        </w:numPr>
      </w:pPr>
      <w:r>
        <w:t xml:space="preserve">log₁₀ transformations</w:t>
      </w:r>
    </w:p>
    <w:p>
      <w:pPr>
        <w:pStyle w:val="Compact"/>
        <w:numPr>
          <w:ilvl w:val="0"/>
          <w:numId w:val="1016"/>
        </w:numPr>
      </w:pPr>
      <w:r>
        <w:t xml:space="preserve">square root transformations</w:t>
      </w:r>
    </w:p>
    <w:p>
      <w:pPr>
        <w:pStyle w:val="Compact"/>
        <w:numPr>
          <w:ilvl w:val="0"/>
          <w:numId w:val="1016"/>
        </w:numPr>
      </w:pPr>
      <w:r>
        <w:t xml:space="preserve">and many others</w:t>
      </w:r>
    </w:p>
    <w:p>
      <w:pPr>
        <w:pStyle w:val="CaptionedFigure"/>
      </w:pPr>
      <w:r>
        <w:drawing>
          <wp:inline>
            <wp:extent cx="2852928" cy="2450592"/>
            <wp:effectExtent b="0" l="0" r="0" t="0"/>
            <wp:docPr descr="Reference chart of six common data transformations (square root, logarithm, inverse, and their ‘reflect and’ variants for left-skewed data), each shown as a small curve with its transformation formula, used to pick a transformation that matches a variable’s skew shape." title="" id="71" name="Picture"/>
            <a:graphic>
              <a:graphicData uri="http://schemas.openxmlformats.org/drawingml/2006/picture">
                <pic:pic>
                  <pic:nvPicPr>
                    <pic:cNvPr descr="images/transformations_2%20jpg.jpg" id="72" name="Picture"/>
                    <pic:cNvPicPr>
                      <a:picLocks noChangeArrowheads="1" noChangeAspect="1"/>
                    </pic:cNvPicPr>
                  </pic:nvPicPr>
                  <pic:blipFill>
                    <a:blip r:embed="rId70"/>
                    <a:stretch>
                      <a:fillRect/>
                    </a:stretch>
                  </pic:blipFill>
                  <pic:spPr bwMode="auto">
                    <a:xfrm>
                      <a:off x="0" y="0"/>
                      <a:ext cx="2852928" cy="2450592"/>
                    </a:xfrm>
                    <a:prstGeom prst="rect">
                      <a:avLst/>
                    </a:prstGeom>
                    <a:noFill/>
                    <a:ln w="9525">
                      <a:noFill/>
                      <a:headEnd/>
                      <a:tailEnd/>
                    </a:ln>
                  </pic:spPr>
                </pic:pic>
              </a:graphicData>
            </a:graphic>
          </wp:inline>
        </w:drawing>
      </w:r>
    </w:p>
    <w:p>
      <w:pPr>
        <w:pStyle w:val="ImageCaption"/>
      </w:pPr>
      <w:r>
        <w:t xml:space="preserve">Reference chart of six common data transformations (square root, logarithm, inverse, and their</w:t>
      </w:r>
      <w:r>
        <w:t xml:space="preserve"> </w:t>
      </w:r>
      <w:r>
        <w:t xml:space="preserve">‘reflect and’</w:t>
      </w:r>
      <w:r>
        <w:t xml:space="preserve"> </w:t>
      </w:r>
      <w:r>
        <w:t xml:space="preserve">variants for left-skewed data), each shown as a small curve with its transformation formula, used to pick a transformation that matches a variable’s skew shape.</w:t>
      </w:r>
    </w:p>
    <w:p>
      <w:pPr>
        <w:pStyle w:val="BodyText"/>
      </w:pPr>
      <w:hyperlink r:id="rId73">
        <w:r>
          <w:rPr>
            <w:rStyle w:val="Hyperlink"/>
          </w:rPr>
          <w:t xml:space="preserve">source</w:t>
        </w:r>
      </w:hyperlink>
    </w:p>
    <w:bookmarkEnd w:id="74"/>
    <w:bookmarkStart w:id="75" w:name="part-4-welchs-t-test"/>
    <w:p>
      <w:pPr>
        <w:pStyle w:val="Heading2"/>
      </w:pPr>
      <w:r>
        <w:t xml:space="preserve">Part 4 · Welch’s T-Test</w:t>
      </w:r>
    </w:p>
    <w:bookmarkEnd w:id="75"/>
    <w:bookmarkStart w:id="79" w:name="robust-tests-welchs-t-test"/>
    <w:p>
      <w:pPr>
        <w:pStyle w:val="Heading2"/>
      </w:pPr>
      <w:r>
        <w:t xml:space="preserve">Robust Tests — Welch’s T-Test</w:t>
      </w:r>
    </w:p>
    <w:p>
      <w:pPr>
        <w:pStyle w:val="FirstParagraph"/>
      </w:pPr>
      <w:r>
        <w:rPr>
          <w:b/>
          <w:bCs/>
        </w:rPr>
        <w:t xml:space="preserve">Welch’s t-test:</w:t>
      </w:r>
    </w:p>
    <w:p>
      <w:pPr>
        <w:pStyle w:val="Compact"/>
        <w:numPr>
          <w:ilvl w:val="0"/>
          <w:numId w:val="1017"/>
        </w:numPr>
      </w:pPr>
      <w:r>
        <w:t xml:space="preserve">a common</w:t>
      </w:r>
      <w:r>
        <w:t xml:space="preserve"> </w:t>
      </w:r>
      <w:r>
        <w:t xml:space="preserve">“robust”</w:t>
      </w:r>
      <w:r>
        <w:t xml:space="preserve"> </w:t>
      </w:r>
      <w:r>
        <w:t xml:space="preserve">test for the means of two populations</w:t>
      </w:r>
    </w:p>
    <w:p>
      <w:pPr>
        <w:pStyle w:val="Compact"/>
        <w:numPr>
          <w:ilvl w:val="0"/>
          <w:numId w:val="1017"/>
        </w:numPr>
      </w:pPr>
      <w:r>
        <w:t xml:space="preserve">robust to violation of the equal-variance assumption; deals better with unequal sample sizes</w:t>
      </w:r>
    </w:p>
    <w:p>
      <w:pPr>
        <w:pStyle w:val="Compact"/>
        <w:numPr>
          <w:ilvl w:val="0"/>
          <w:numId w:val="1017"/>
        </w:numPr>
      </w:pPr>
      <w:r>
        <w:t xml:space="preserve">still a</w:t>
      </w:r>
      <w:r>
        <w:t xml:space="preserve"> </w:t>
      </w:r>
      <w:r>
        <w:rPr>
          <w:b/>
          <w:bCs/>
        </w:rPr>
        <w:t xml:space="preserve">parametric</w:t>
      </w:r>
      <w:r>
        <w:t xml:space="preserve"> </w:t>
      </w:r>
      <w:r>
        <w:t xml:space="preserve">test (assumes normal distribution)</w:t>
      </w:r>
    </w:p>
    <w:p>
      <w:pPr>
        <w:pStyle w:val="Compact"/>
        <w:numPr>
          <w:ilvl w:val="0"/>
          <w:numId w:val="1017"/>
        </w:numPr>
      </w:pPr>
      <w:r>
        <w:t xml:space="preserve">calculates a t statistic, but recalculates degrees of freedom based on sample sizes and s</w:t>
      </w:r>
    </w:p>
    <w:p>
      <w:pPr>
        <w:pStyle w:val="FirstParagraph"/>
      </w:pPr>
      <w:r>
        <w:drawing>
          <wp:inline>
            <wp:extent cx="3119357" cy="2568882"/>
            <wp:effectExtent b="0" l="0" r="0" t="0"/>
            <wp:docPr descr="" title="" id="77" name="Picture"/>
            <a:graphic>
              <a:graphicData uri="http://schemas.openxmlformats.org/drawingml/2006/picture">
                <pic:pic>
                  <pic:nvPicPr>
                    <pic:cNvPr descr="nonparametric_t_tests_lecture_files/figure-docx/nonparametric-t-tests-10-1.png" id="78" name="Picture"/>
                    <pic:cNvPicPr>
                      <a:picLocks noChangeArrowheads="1" noChangeAspect="1"/>
                    </pic:cNvPicPr>
                  </pic:nvPicPr>
                  <pic:blipFill>
                    <a:blip r:embed="rId76"/>
                    <a:stretch>
                      <a:fillRect/>
                    </a:stretch>
                  </pic:blipFill>
                  <pic:spPr bwMode="auto">
                    <a:xfrm>
                      <a:off x="0" y="0"/>
                      <a:ext cx="3119357" cy="2568882"/>
                    </a:xfrm>
                    <a:prstGeom prst="rect">
                      <a:avLst/>
                    </a:prstGeom>
                    <a:noFill/>
                    <a:ln w="9525">
                      <a:noFill/>
                      <a:headEnd/>
                      <a:tailEnd/>
                    </a:ln>
                  </pic:spPr>
                </pic:pic>
              </a:graphicData>
            </a:graphic>
          </wp:inline>
        </w:drawing>
      </w:r>
    </w:p>
    <w:bookmarkEnd w:id="79"/>
    <w:bookmarkStart w:id="80" w:name="X72170f3ccfaeab1936c958b316f01423ba75860"/>
    <w:p>
      <w:pPr>
        <w:pStyle w:val="Heading2"/>
      </w:pPr>
      <w:r>
        <w:t xml:space="preserve">Comparing Standard T-Test vs. Welch’s T-Test</w:t>
      </w:r>
    </w:p>
    <w:p>
      <w:pPr>
        <w:pStyle w:val="FirstParagraph"/>
      </w:pPr>
      <w:r>
        <w:t xml:space="preserve">Let’s compare a parametric t-test to a Welch’s t-test:</w:t>
      </w:r>
    </w:p>
    <w:p>
      <w:pPr>
        <w:pStyle w:val="Compact"/>
        <w:numPr>
          <w:ilvl w:val="0"/>
          <w:numId w:val="1018"/>
        </w:numPr>
      </w:pPr>
      <w:r>
        <w:t xml:space="preserve">Standard:</w:t>
      </w:r>
      <w:r>
        <w:t xml:space="preserve"> </w:t>
      </w:r>
      <w:r>
        <w:rPr>
          <w:rStyle w:val="VerbatimChar"/>
          <w:b/>
          <w:bCs/>
        </w:rPr>
        <w:t xml:space="preserve">t.test(y1, y2, var.equal = TRUE, paired = FALSE)</w:t>
      </w:r>
    </w:p>
    <w:p>
      <w:pPr>
        <w:pStyle w:val="Compact"/>
        <w:numPr>
          <w:ilvl w:val="0"/>
          <w:numId w:val="1018"/>
        </w:numPr>
      </w:pPr>
      <w:r>
        <w:t xml:space="preserve">Welch’s:</w:t>
      </w:r>
      <w:r>
        <w:t xml:space="preserve"> </w:t>
      </w:r>
      <w:r>
        <w:rPr>
          <w:rStyle w:val="VerbatimChar"/>
          <w:b/>
          <w:bCs/>
        </w:rPr>
        <w:t xml:space="preserve">t.test(y1, y2, var.equal = FALSE, paired = FALSE)</w:t>
      </w:r>
    </w:p>
    <w:p>
      <w:pPr>
        <w:pStyle w:val="SourceCode"/>
      </w:pPr>
      <w:r>
        <w:rPr>
          <w:rStyle w:val="VerbatimChar"/>
        </w:rPr>
        <w:t xml:space="preserve">[1] "Standard t-test results for mass_g:"</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p>
      <w:pPr>
        <w:pStyle w:val="SourceCode"/>
      </w:pPr>
      <w:r>
        <w:rPr>
          <w:rStyle w:val="VerbatimChar"/>
        </w:rPr>
        <w:t xml:space="preserve">[1] "Welch's t-test results for mass_g:"</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bookmarkEnd w:id="80"/>
    <w:bookmarkStart w:id="81" w:name="part-5-rank-based-tests"/>
    <w:p>
      <w:pPr>
        <w:pStyle w:val="Heading2"/>
      </w:pPr>
      <w:r>
        <w:t xml:space="preserve">Part 5 · Rank-Based Tests</w:t>
      </w:r>
    </w:p>
    <w:bookmarkEnd w:id="81"/>
    <w:bookmarkStart w:id="84" w:name="rank-based-tests"/>
    <w:p>
      <w:pPr>
        <w:pStyle w:val="Heading2"/>
      </w:pPr>
      <w:r>
        <w:t xml:space="preserve">Rank-Based Tests</w:t>
      </w:r>
    </w:p>
    <w:p>
      <w:pPr>
        <w:pStyle w:val="FirstParagraph"/>
      </w:pPr>
      <w:r>
        <w:t xml:space="preserve">Rank-based tests: no assumptions about distribution (non-parametric).</w:t>
      </w:r>
    </w:p>
    <w:p>
      <w:pPr>
        <w:pStyle w:val="Compact"/>
        <w:numPr>
          <w:ilvl w:val="0"/>
          <w:numId w:val="1019"/>
        </w:numPr>
      </w:pPr>
      <w:r>
        <w:t xml:space="preserve">Ranks of data: observations are assigned ranks; sums (and signs, for paired tests) of ranks for groups are compared</w:t>
      </w:r>
    </w:p>
    <w:p>
      <w:pPr>
        <w:pStyle w:val="Compact"/>
        <w:numPr>
          <w:ilvl w:val="0"/>
          <w:numId w:val="1019"/>
        </w:numPr>
      </w:pPr>
      <w:r>
        <w:rPr>
          <w:b/>
          <w:bCs/>
        </w:rPr>
        <w:t xml:space="preserve">Mann-Whitney U test</w:t>
      </w:r>
      <w:r>
        <w:t xml:space="preserve"> </w:t>
      </w:r>
      <w:r>
        <w:t xml:space="preserve">— common alternative to the independent-samples t-test</w:t>
      </w:r>
    </w:p>
    <w:p>
      <w:pPr>
        <w:pStyle w:val="Compact"/>
        <w:numPr>
          <w:ilvl w:val="0"/>
          <w:numId w:val="1019"/>
        </w:numPr>
      </w:pPr>
      <w:r>
        <w:rPr>
          <w:b/>
          <w:bCs/>
        </w:rPr>
        <w:t xml:space="preserve">Wilcoxon signed-rank test</w:t>
      </w:r>
      <w:r>
        <w:t xml:space="preserve"> </w:t>
      </w:r>
      <w:r>
        <w:t xml:space="preserve">— alternative to the paired t-test</w:t>
      </w:r>
    </w:p>
    <w:p>
      <w:pPr>
        <w:pStyle w:val="Compact"/>
        <w:numPr>
          <w:ilvl w:val="0"/>
          <w:numId w:val="1019"/>
        </w:numPr>
      </w:pPr>
      <w:r>
        <w:t xml:space="preserve">Assumptions: similar distributions for groups, equal variance</w:t>
      </w:r>
    </w:p>
    <w:p>
      <w:pPr>
        <w:pStyle w:val="Compact"/>
        <w:numPr>
          <w:ilvl w:val="0"/>
          <w:numId w:val="1019"/>
        </w:numPr>
      </w:pPr>
      <w:r>
        <w:t xml:space="preserve">Less power than parametric tests</w:t>
      </w:r>
    </w:p>
    <w:p>
      <w:pPr>
        <w:pStyle w:val="Compact"/>
        <w:numPr>
          <w:ilvl w:val="0"/>
          <w:numId w:val="1019"/>
        </w:numPr>
      </w:pPr>
      <w:r>
        <w:t xml:space="preserve">Best when normality can’t be met by transformation (weird distribution) or there are large outliers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13, covers the Mann-Whitney U test and Wilcoxon signed-rank test as the standard rank-based alternatives.</w:t>
            </w:r>
          </w:p>
          <w:p/>
        </w:tc>
      </w:tr>
    </w:tbl>
    <w:bookmarkEnd w:id="84"/>
    <w:bookmarkStart w:id="87" w:name="mann-whitney-u-test-results"/>
    <w:p>
      <w:pPr>
        <w:pStyle w:val="Heading2"/>
      </w:pPr>
      <w:r>
        <w:t xml:space="preserve">Mann-Whitney U Test Results</w:t>
      </w:r>
    </w:p>
    <w:p>
      <w:pPr>
        <w:pStyle w:val="SourceCode"/>
      </w:pPr>
      <w:r>
        <w:rPr>
          <w:rStyle w:val="VerbatimChar"/>
        </w:rPr>
        <w:t xml:space="preserve">[1] "Mann-Whitney U test results mass_g:"</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test statistic is</w:t>
            </w:r>
            <w:r>
              <w:t xml:space="preserve"> </w:t>
            </w:r>
            <w:r>
              <w:rPr>
                <w:rStyle w:val="VerbatimChar"/>
              </w:rPr>
              <w:t xml:space="preserve">W</w:t>
            </w:r>
            <w:r>
              <w:t xml:space="preserve">, not</w:t>
            </w:r>
            <w:r>
              <w:t xml:space="preserve"> </w:t>
            </w:r>
            <w:r>
              <w:rPr>
                <w:rStyle w:val="VerbatimChar"/>
              </w:rPr>
              <w:t xml:space="preserve">t</w:t>
            </w:r>
            <w:r>
              <w:t xml:space="preserve"> </w:t>
            </w:r>
            <w:r>
              <w:t xml:space="preserve">— a signal you’re reading rank-based test output, not a t-test.</w:t>
            </w:r>
          </w:p>
          <w:p/>
        </w:tc>
      </w:tr>
    </w:tbl>
    <w:bookmarkEnd w:id="87"/>
    <w:bookmarkStart w:id="88" w:name="part-5b-back-to-our-pine-needles"/>
    <w:p>
      <w:pPr>
        <w:pStyle w:val="Heading2"/>
      </w:pPr>
      <w:r>
        <w:t xml:space="preserve">Part 5b · Back to Our Pine Needles</w:t>
      </w:r>
    </w:p>
    <w:bookmarkEnd w:id="88"/>
    <w:bookmarkStart w:id="92" w:name="the-same-question-the-non-parametric-way"/>
    <w:p>
      <w:pPr>
        <w:pStyle w:val="Heading2"/>
      </w:pPr>
      <w:r>
        <w:t xml:space="preserve">The same question, the non-parametric way</w:t>
      </w:r>
    </w:p>
    <w:p>
      <w:pPr>
        <w:pStyle w:val="FirstParagraph"/>
      </w:pPr>
      <w:r>
        <w:t xml:space="preserve">Last week we tested our own needle data two ways. Let’s run the rank-based versions of</w:t>
      </w:r>
      <w:r>
        <w:t xml:space="preserve"> </w:t>
      </w:r>
      <w:r>
        <w:rPr>
          <w:b/>
          <w:bCs/>
        </w:rPr>
        <w:t xml:space="preserve">exactly the same two comparisons</w:t>
      </w:r>
      <w:r>
        <w:t xml:space="preserve"> </w:t>
      </w:r>
      <w:r>
        <w:t xml:space="preserve">and see what changes.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same two-stage summary as last week: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p_wide_df</w:t>
      </w:r>
    </w:p>
    <w:p>
      <w:pPr>
        <w:pStyle w:val="SourceCode"/>
      </w:pPr>
      <w:r>
        <w:rPr>
          <w:rStyle w:val="VerbatimChar"/>
        </w:rPr>
        <w:t xml:space="preserve"># A tibble: 4 × 3</w:t>
      </w:r>
      <w:r>
        <w:br/>
      </w:r>
      <w:r>
        <w:rPr>
          <w:rStyle w:val="VerbatimChar"/>
        </w:rPr>
        <w:t xml:space="preserve">  team       shady sunny</w:t>
      </w:r>
      <w:r>
        <w:br/>
      </w:r>
      <w:r>
        <w:rPr>
          <w:rStyle w:val="VerbatimChar"/>
        </w:rPr>
        <w:t xml:space="preserve">  &lt;chr&gt;      &lt;dbl&gt; &lt;dbl&gt;</w:t>
      </w:r>
      <w:r>
        <w:br/>
      </w:r>
      <w:r>
        <w:rPr>
          <w:rStyle w:val="VerbatimChar"/>
        </w:rPr>
        <w:t xml:space="preserve">1 botany      16.1  17.3</w:t>
      </w:r>
      <w:r>
        <w:br/>
      </w:r>
      <w:r>
        <w:rPr>
          <w:rStyle w:val="VerbatimChar"/>
        </w:rPr>
        <w:t xml:space="preserve">2 grace_jace  15.4  15.5</w:t>
      </w:r>
      <w:r>
        <w:br/>
      </w:r>
      <w:r>
        <w:rPr>
          <w:rStyle w:val="VerbatimChar"/>
        </w:rPr>
        <w:t xml:space="preserve">3 one         13.2  14.2</w:t>
      </w:r>
      <w:r>
        <w:br/>
      </w:r>
      <w:r>
        <w:rPr>
          <w:rStyle w:val="VerbatimChar"/>
        </w:rPr>
        <w:t xml:space="preserve">4 waterbugs   11.7  13.8</w:t>
      </w:r>
    </w:p>
    <w:p>
      <w:pPr>
        <w:pStyle w:val="FirstParagraph"/>
      </w:pPr>
      <w:hyperlink r:id="rId89">
        <w:r>
          <w:rPr>
            <w:rStyle w:val="Hyperlink"/>
          </w:rPr>
          <w:t xml:space="preserve">📥 Download the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Positron.app/Contents/Resources/app/quarto/share/formats/docx/note.png" id="9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Reminder</w:t>
            </w:r>
          </w:p>
          <w:p>
            <w:pPr>
              <w:pStyle w:val="BodyText"/>
            </w:pPr>
            <w:pPr>
              <w:spacing w:after="16"/>
            </w:pPr>
            <w:r>
              <w:t xml:space="preserve">4 teams, 4 trees, both sides of each tree. The data are</w:t>
            </w:r>
            <w:r>
              <w:t xml:space="preserve"> </w:t>
            </w:r>
            <w:r>
              <w:rPr>
                <w:b/>
                <w:bCs/>
              </w:rPr>
              <w:t xml:space="preserve">paired</w:t>
            </w:r>
            <w:r>
              <w:t xml:space="preserve"> </w:t>
            </w:r>
            <w:r>
              <w:t xml:space="preserve">by design.</w:t>
            </w:r>
          </w:p>
          <w:p/>
        </w:tc>
      </w:tr>
    </w:tbl>
    <w:bookmarkEnd w:id="92"/>
    <w:bookmarkStart w:id="95" w:name="running-both-rank-based-tests"/>
    <w:p>
      <w:pPr>
        <w:pStyle w:val="Heading2"/>
      </w:pPr>
      <w:r>
        <w:t xml:space="preserve">Running both rank-based tests</w:t>
      </w:r>
    </w:p>
    <w:p>
      <w:pPr>
        <w:pStyle w:val="SourceCode"/>
      </w:pPr>
      <w:r>
        <w:rPr>
          <w:rStyle w:val="CommentTok"/>
        </w:rPr>
        <w:t xml:space="preserve"># Unpaired: Mann-Whitney U  (the t-test's two-sample partner)</w:t>
      </w:r>
      <w:r>
        <w:br/>
      </w:r>
      <w:r>
        <w:rPr>
          <w:rStyle w:val="FunctionTok"/>
        </w:rPr>
        <w:t xml:space="preserve">wilcox.test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p>
    <w:p>
      <w:pPr>
        <w:pStyle w:val="SourceCode"/>
      </w:pPr>
      <w:r>
        <w:br/>
      </w:r>
      <w:r>
        <w:rPr>
          <w:rStyle w:val="VerbatimChar"/>
        </w:rPr>
        <w:t xml:space="preserve">    Wilcoxon rank sum exact test</w:t>
      </w:r>
      <w:r>
        <w:br/>
      </w:r>
      <w:r>
        <w:br/>
      </w:r>
      <w:r>
        <w:rPr>
          <w:rStyle w:val="VerbatimChar"/>
        </w:rPr>
        <w:t xml:space="preserve">data:  needle_length_mm by side</w:t>
      </w:r>
      <w:r>
        <w:br/>
      </w:r>
      <w:r>
        <w:rPr>
          <w:rStyle w:val="VerbatimChar"/>
        </w:rPr>
        <w:t xml:space="preserve">W = 5, p-value = 0.4857</w:t>
      </w:r>
      <w:r>
        <w:br/>
      </w:r>
      <w:r>
        <w:rPr>
          <w:rStyle w:val="VerbatimChar"/>
        </w:rPr>
        <w:t xml:space="preserve">alternative hypothesis: true location shift is not equal to 0</w:t>
      </w:r>
    </w:p>
    <w:p>
      <w:pPr>
        <w:pStyle w:val="SourceCode"/>
      </w:pPr>
      <w:r>
        <w:rPr>
          <w:rStyle w:val="CommentTok"/>
        </w:rPr>
        <w:t xml:space="preserve"># Paired: Wilcoxon signed-rank  (the paired t-test's partner)</w:t>
      </w:r>
      <w:r>
        <w:br/>
      </w:r>
      <w:r>
        <w:rPr>
          <w:rStyle w:val="FunctionTok"/>
        </w:rPr>
        <w:t xml:space="preserve">wilcox.test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SourceCode"/>
      </w:pPr>
      <w:r>
        <w:br/>
      </w:r>
      <w:r>
        <w:rPr>
          <w:rStyle w:val="VerbatimChar"/>
        </w:rPr>
        <w:t xml:space="preserve">    Wilcoxon signed rank exact test</w:t>
      </w:r>
      <w:r>
        <w:br/>
      </w:r>
      <w:r>
        <w:br/>
      </w:r>
      <w:r>
        <w:rPr>
          <w:rStyle w:val="VerbatimChar"/>
        </w:rPr>
        <w:t xml:space="preserve">data:  p_wide_df$shady and p_wide_df$sunny</w:t>
      </w:r>
      <w:r>
        <w:br/>
      </w:r>
      <w:r>
        <w:rPr>
          <w:rStyle w:val="VerbatimChar"/>
        </w:rPr>
        <w:t xml:space="preserve">V = 0, p-value = 0.125</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tip.png" id="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r>
              <w:rPr>
                <w:b/>
                <w:bCs/>
              </w:rPr>
              <w:t xml:space="preserve"> </w:t>
            </w:r>
            <w:r>
              <w:rPr>
                <w:rStyle w:val="VerbatimChar"/>
                <w:b/>
                <w:bCs/>
              </w:rPr>
              <w:t xml:space="preserve">V = 0</w:t>
            </w:r>
          </w:p>
          <w:p>
            <w:pPr>
              <w:pStyle w:val="BodyText"/>
            </w:pPr>
            <w:r>
              <w:t xml:space="preserve">The signed-rank statistic is</w:t>
            </w:r>
            <w:r>
              <w:t xml:space="preserve"> </w:t>
            </w:r>
            <w:r>
              <w:rPr>
                <w:b/>
                <w:bCs/>
              </w:rPr>
              <w:t xml:space="preserve">zero</w:t>
            </w:r>
            <w:r>
              <w:t xml:space="preserve"> </w:t>
            </w:r>
            <w:r>
              <w:t xml:space="preserve">— meaning</w:t>
            </w:r>
            <w:r>
              <w:t xml:space="preserve"> </w:t>
            </w:r>
            <w:r>
              <w:rPr>
                <w:i/>
                <w:iCs/>
              </w:rPr>
              <w:t xml:space="preserve">every single tree</w:t>
            </w:r>
            <w:r>
              <w:t xml:space="preserve"> </w:t>
            </w:r>
            <w:r>
              <w:t xml:space="preserve">moved in the same direction. There is no arrangement of these four trees that would look more consistent.</w:t>
            </w:r>
          </w:p>
          <w:p>
            <w:pPr>
              <w:pStyle w:val="BodyText"/>
            </w:pPr>
            <w:pPr>
              <w:spacing w:after="16"/>
            </w:pPr>
            <w:r>
              <w:t xml:space="preserve">Notice too that R says</w:t>
            </w:r>
            <w:r>
              <w:t xml:space="preserve"> </w:t>
            </w:r>
            <w:r>
              <w:rPr>
                <w:b/>
                <w:bCs/>
              </w:rPr>
              <w:t xml:space="preserve">“exact test”</w:t>
            </w:r>
            <w:r>
              <w:t xml:space="preserve"> </w:t>
            </w:r>
            <w:r>
              <w:t xml:space="preserve">for both. With no tied values it enumerates every possible arrangement rather than approximating. Hold on to that word — the next slide explains why it matters.</w:t>
            </w:r>
          </w:p>
          <w:p/>
        </w:tc>
      </w:tr>
    </w:tbl>
    <w:bookmarkEnd w:id="95"/>
    <w:bookmarkStart w:id="99" w:name="same-answer-less-power"/>
    <w:p>
      <w:pPr>
        <w:pStyle w:val="Heading2"/>
      </w:pPr>
      <w:r>
        <w:t xml:space="preserve">Same answer, less power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Comparison</w:t>
            </w:r>
          </w:p>
        </w:tc>
        <w:tc>
          <w:tcPr/>
          <w:p>
            <w:pPr>
              <w:pStyle w:val="Compact"/>
            </w:pPr>
            <w:r>
              <w:t xml:space="preserve">Parametric</w:t>
            </w:r>
          </w:p>
        </w:tc>
        <w:tc>
          <w:tcPr/>
          <w:p>
            <w:pPr>
              <w:pStyle w:val="Compact"/>
            </w:pPr>
            <w:r>
              <w:t xml:space="preserve">Non-parametric</w:t>
            </w:r>
          </w:p>
        </w:tc>
      </w:tr>
      <w:tr>
        <w:tc>
          <w:tcPr/>
          <w:p>
            <w:pPr>
              <w:pStyle w:val="Compact"/>
            </w:pPr>
            <w:r>
              <w:t xml:space="preserve">Unpaired (2 groups)</w:t>
            </w:r>
          </w:p>
        </w:tc>
        <w:tc>
          <w:tcPr/>
          <w:p>
            <w:pPr>
              <w:pStyle w:val="Compact"/>
            </w:pPr>
            <w:r>
              <w:t xml:space="preserve">t-test</w:t>
            </w:r>
            <w:r>
              <w:t xml:space="preserve"> </w:t>
            </w:r>
            <w:r>
              <w:rPr>
                <w:b/>
                <w:bCs/>
              </w:rPr>
              <w:t xml:space="preserve">p = 0.425</w:t>
            </w:r>
          </w:p>
        </w:tc>
        <w:tc>
          <w:tcPr/>
          <w:p>
            <w:pPr>
              <w:pStyle w:val="Compact"/>
            </w:pPr>
            <w:r>
              <w:t xml:space="preserve">Mann-Whitney</w:t>
            </w:r>
            <w:r>
              <w:t xml:space="preserve"> </w:t>
            </w:r>
            <w:r>
              <w:rPr>
                <w:b/>
                <w:bCs/>
              </w:rPr>
              <w:t xml:space="preserve">p = 0.486</w:t>
            </w:r>
          </w:p>
        </w:tc>
      </w:tr>
      <w:tr>
        <w:tc>
          <w:tcPr/>
          <w:p>
            <w:pPr>
              <w:pStyle w:val="Compact"/>
            </w:pPr>
            <w:r>
              <w:t xml:space="preserve">Paired (4 trees)</w:t>
            </w:r>
          </w:p>
        </w:tc>
        <w:tc>
          <w:tcPr/>
          <w:p>
            <w:pPr>
              <w:pStyle w:val="Compact"/>
            </w:pPr>
            <w:r>
              <w:t xml:space="preserve">paired t</w:t>
            </w:r>
            <w:r>
              <w:t xml:space="preserve"> </w:t>
            </w:r>
            <w:r>
              <w:rPr>
                <w:b/>
                <w:bCs/>
              </w:rPr>
              <w:t xml:space="preserve">p = 0.072</w:t>
            </w:r>
          </w:p>
        </w:tc>
        <w:tc>
          <w:tcPr/>
          <w:p>
            <w:pPr>
              <w:pStyle w:val="Compact"/>
            </w:pPr>
            <w:r>
              <w:t xml:space="preserve">signed-rank</w:t>
            </w:r>
            <w:r>
              <w:t xml:space="preserve"> </w:t>
            </w:r>
            <w:r>
              <w:rPr>
                <w:b/>
                <w:bCs/>
              </w:rPr>
              <w:t xml:space="preserve">p = 0.125</w:t>
            </w:r>
          </w:p>
        </w:tc>
      </w:tr>
    </w:tbl>
    <w:p>
      <w:pPr>
        <w:pStyle w:val="BodyText"/>
      </w:pPr>
      <w:r>
        <w:rPr>
          <w:b/>
          <w:bCs/>
        </w:rPr>
        <w:t xml:space="preserve">Both methods tell the same story:</w:t>
      </w:r>
    </w:p>
    <w:p>
      <w:pPr>
        <w:pStyle w:val="Compact"/>
        <w:numPr>
          <w:ilvl w:val="0"/>
          <w:numId w:val="1020"/>
        </w:numPr>
      </w:pPr>
      <w:r>
        <w:t xml:space="preserve">the unpaired comparison finds nothing</w:t>
      </w:r>
    </w:p>
    <w:p>
      <w:pPr>
        <w:pStyle w:val="Compact"/>
        <w:numPr>
          <w:ilvl w:val="0"/>
          <w:numId w:val="1020"/>
        </w:numPr>
      </w:pPr>
      <w:r>
        <w:t xml:space="preserve">the paired comparison is far more sensitive</w:t>
      </w:r>
    </w:p>
    <w:p>
      <w:pPr>
        <w:pStyle w:val="Compact"/>
        <w:numPr>
          <w:ilvl w:val="0"/>
          <w:numId w:val="1020"/>
        </w:numPr>
      </w:pPr>
      <w:r>
        <w:t xml:space="preserve">the direction is identical — shady needles shorter</w:t>
      </w:r>
    </w:p>
    <w:p>
      <w:pPr>
        <w:pStyle w:val="FirstParagraph"/>
      </w:pPr>
      <w:r>
        <w:rPr>
          <w:b/>
          <w:bCs/>
        </w:rPr>
        <w:t xml:space="preserve">But the rank test costs you.</w:t>
      </w:r>
      <w:r>
        <w:t xml:space="preserve"> </w:t>
      </w:r>
      <w:r>
        <w:t xml:space="preserve">In both rows the non-parametric p-value is larger. That is the price of throwing away the actual measurements and keeping only their order.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important.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At n = 4, the signed-rank test hits a wall</w:t>
            </w:r>
          </w:p>
          <w:p>
            <w:pPr>
              <w:pStyle w:val="BodyText"/>
            </w:pPr>
            <w:r>
              <w:t xml:space="preserve">With 4 pairs there are only 2⁴ =</w:t>
            </w:r>
            <w:r>
              <w:t xml:space="preserve"> </w:t>
            </w:r>
            <w:r>
              <w:rPr>
                <w:b/>
                <w:bCs/>
              </w:rPr>
              <w:t xml:space="preserve">16</w:t>
            </w:r>
            <w:r>
              <w:t xml:space="preserve"> </w:t>
            </w:r>
            <w:r>
              <w:t xml:space="preserve">possible arrangements of plus and minus signs. The most extreme possible result — all four the same way, which is exactly what we got — has a two-sided p of 2/16 =</w:t>
            </w:r>
            <w:r>
              <w:t xml:space="preserve"> </w:t>
            </w:r>
            <w:r>
              <w:rPr>
                <w:b/>
                <w:bCs/>
              </w:rPr>
              <w:t xml:space="preserve">0.125</w:t>
            </w:r>
            <w:r>
              <w:t xml:space="preserve">.</w:t>
            </w:r>
          </w:p>
          <w:p>
            <w:pPr>
              <w:pStyle w:val="BodyText"/>
            </w:pPr>
            <w:r>
              <w:t xml:space="preserve">So with four trees, a Wilcoxon signed-rank test</w:t>
            </w:r>
            <w:r>
              <w:t xml:space="preserve"> </w:t>
            </w:r>
            <w:r>
              <w:rPr>
                <w:b/>
                <w:bCs/>
              </w:rPr>
              <w:t xml:space="preserve">can never return a p-value below 0.125</w:t>
            </w:r>
            <w:r>
              <w:t xml:space="preserve">, no matter how enormous the effect.</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smallest possible two-sided p, 4 pairs</w:t>
            </w:r>
          </w:p>
          <w:p>
            <w:pPr>
              <w:pStyle w:val="SourceCode"/>
            </w:pPr>
            <w:r>
              <w:rPr>
                <w:rStyle w:val="VerbatimChar"/>
              </w:rPr>
              <w:t xml:space="preserve">[1] 0.125</w:t>
            </w:r>
          </w:p>
          <w:p>
            <w:pPr>
              <w:pStyle w:val="FirstParagraph"/>
            </w:pPr>
            <w:pPr>
              <w:spacing w:after="16"/>
            </w:pPr>
            <w:r>
              <w:t xml:space="preserve">The test did not fail to find our effect. It was</w:t>
            </w:r>
            <w:r>
              <w:t xml:space="preserve"> </w:t>
            </w:r>
            <w:r>
              <w:rPr>
                <w:b/>
                <w:bCs/>
              </w:rPr>
              <w:t xml:space="preserve">arithmetically incapable</w:t>
            </w:r>
            <w:r>
              <w:t xml:space="preserve"> </w:t>
            </w:r>
            <w:r>
              <w:t xml:space="preserve">of declaring it significant.</w:t>
            </w:r>
          </w:p>
          <w:p/>
        </w:tc>
      </w:tr>
    </w:tbl>
    <w:bookmarkEnd w:id="99"/>
    <w:bookmarkStart w:id="104" w:name="what-that-means-in-practice"/>
    <w:p>
      <w:pPr>
        <w:pStyle w:val="Heading2"/>
      </w:pPr>
      <w:r>
        <w:t xml:space="preserve">What that means in practice</w:t>
      </w:r>
    </w:p>
    <w:p>
      <w:pPr>
        <w:pStyle w:val="Compact"/>
        <w:numPr>
          <w:ilvl w:val="0"/>
          <w:numId w:val="1021"/>
        </w:numPr>
      </w:pPr>
      <w:r>
        <w:t xml:space="preserve">Non-parametric tests are the right call when normality is genuinely broken and cannot be fixed</w:t>
      </w:r>
    </w:p>
    <w:p>
      <w:pPr>
        <w:pStyle w:val="Compact"/>
        <w:numPr>
          <w:ilvl w:val="0"/>
          <w:numId w:val="1021"/>
        </w:numPr>
      </w:pPr>
      <w:r>
        <w:t xml:space="preserve">But they are</w:t>
      </w:r>
      <w:r>
        <w:t xml:space="preserve"> </w:t>
      </w:r>
      <w:r>
        <w:rPr>
          <w:b/>
          <w:bCs/>
        </w:rPr>
        <w:t xml:space="preserve">not free</w:t>
      </w:r>
      <w:r>
        <w:t xml:space="preserve">, and they are</w:t>
      </w:r>
      <w:r>
        <w:t xml:space="preserve"> </w:t>
      </w:r>
      <w:r>
        <w:rPr>
          <w:b/>
          <w:bCs/>
        </w:rPr>
        <w:t xml:space="preserve">not a safe default</w:t>
      </w:r>
    </w:p>
    <w:p>
      <w:pPr>
        <w:pStyle w:val="Compact"/>
        <w:numPr>
          <w:ilvl w:val="0"/>
          <w:numId w:val="1021"/>
        </w:numPr>
      </w:pPr>
      <w:r>
        <w:t xml:space="preserve">At small n they can be so blunt that no result could ever reach significance — check the floor</w:t>
      </w:r>
      <w:r>
        <w:t xml:space="preserve"> </w:t>
      </w:r>
      <w:r>
        <w:rPr>
          <w:b/>
          <w:bCs/>
        </w:rPr>
        <w:t xml:space="preserve">before</w:t>
      </w:r>
      <w:r>
        <w:t xml:space="preserve"> </w:t>
      </w:r>
      <w:r>
        <w:t xml:space="preserve">you run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Positron.app/Contents/Resources/app/quarto/share/formats/docx/note.png" id="10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Choose the test that matches your data’s distribution, not the one that feels safest. For our four trees, the</w:t>
            </w:r>
            <w:r>
              <w:t xml:space="preserve"> </w:t>
            </w:r>
            <w:r>
              <w:rPr>
                <w:i/>
                <w:iCs/>
              </w:rPr>
              <w:t xml:space="preserve">parametric</w:t>
            </w:r>
            <w:r>
              <w:t xml:space="preserve"> </w:t>
            </w:r>
            <w:r>
              <w:t xml:space="preserve">paired t-test — whose assumptions we checked and could not reject — is the more honest and more informative choice.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How many pairs would you need before a signed-rank test could reach p &lt; 0.05?</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CommentTok"/>
              </w:rPr>
              <w:t xml:space="preserve"># 5 pairs</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6</w:t>
            </w:r>
            <w:r>
              <w:rPr>
                <w:rStyle w:val="NormalTok"/>
              </w:rPr>
              <w:t xml:space="preserve">    </w:t>
            </w:r>
            <w:r>
              <w:rPr>
                <w:rStyle w:val="CommentTok"/>
              </w:rPr>
              <w:t xml:space="preserve"># 6 pairs</w:t>
            </w:r>
          </w:p>
          <w:p/>
        </w:tc>
      </w:tr>
    </w:tbl>
    <w:bookmarkEnd w:id="104"/>
    <w:bookmarkStart w:id="105" w:name="part-6-permutation-tests"/>
    <w:p>
      <w:pPr>
        <w:pStyle w:val="Heading2"/>
      </w:pPr>
      <w:r>
        <w:t xml:space="preserve">Part 6 · Permutation Tests</w:t>
      </w:r>
    </w:p>
    <w:bookmarkEnd w:id="105"/>
    <w:bookmarkStart w:id="109" w:name="permutation-tests-concept"/>
    <w:p>
      <w:pPr>
        <w:pStyle w:val="Heading2"/>
      </w:pPr>
      <w:r>
        <w:t xml:space="preserve">Permutation Tests — Concept</w:t>
      </w:r>
    </w:p>
    <w:p>
      <w:pPr>
        <w:pStyle w:val="Compact"/>
        <w:numPr>
          <w:ilvl w:val="0"/>
          <w:numId w:val="1022"/>
        </w:numPr>
      </w:pPr>
      <w:r>
        <w:t xml:space="preserve">Permutation tests are based on resampling: reshuffling the original data</w:t>
      </w:r>
    </w:p>
    <w:p>
      <w:pPr>
        <w:pStyle w:val="Compact"/>
        <w:numPr>
          <w:ilvl w:val="0"/>
          <w:numId w:val="1022"/>
        </w:numPr>
      </w:pPr>
      <w:r>
        <w:t xml:space="preserve">Resampling allows parameter estimation when the distribution is unknown, including SEs and CIs of statistics (means, medians)</w:t>
      </w:r>
    </w:p>
    <w:p>
      <w:pPr>
        <w:pStyle w:val="Compact"/>
        <w:numPr>
          <w:ilvl w:val="0"/>
          <w:numId w:val="1022"/>
        </w:numPr>
      </w:pPr>
      <w:r>
        <w:t xml:space="preserve">A common approach is the bootstrap: resample with replacement many times, recalculate sample stats</w:t>
      </w:r>
    </w:p>
    <w:p>
      <w:pPr>
        <w:pStyle w:val="Compact"/>
        <w:numPr>
          <w:ilvl w:val="0"/>
          <w:numId w:val="1022"/>
        </w:numPr>
      </w:pPr>
      <w:r>
        <w:t xml:space="preserve">We use the</w:t>
      </w:r>
      <w:r>
        <w:t xml:space="preserve"> </w:t>
      </w:r>
      <w:r>
        <w:rPr>
          <w:rStyle w:val="VerbatimChar"/>
        </w:rPr>
        <w:t xml:space="preserve">perm</w:t>
      </w:r>
      <w:r>
        <w:t xml:space="preserve"> </w:t>
      </w:r>
      <w:r>
        <w:t xml:space="preserve">package</w:t>
      </w:r>
    </w:p>
    <w:p>
      <w:pPr>
        <w:pStyle w:val="Compact"/>
        <w:numPr>
          <w:ilvl w:val="0"/>
          <w:numId w:val="1022"/>
        </w:numPr>
      </w:pPr>
      <w:r>
        <w:t xml:space="preserve">H₀: µ_A = µ_B, Hₐ: µ_A ≠ µ_B</w:t>
      </w:r>
    </w:p>
    <w:p>
      <w:pPr>
        <w:pStyle w:val="Compact"/>
        <w:numPr>
          <w:ilvl w:val="0"/>
          <w:numId w:val="1022"/>
        </w:numPr>
      </w:pPr>
      <w:r>
        <w:t xml:space="preserve">Calculates the difference Δ in means between two groups</w:t>
      </w:r>
    </w:p>
    <w:p>
      <w:pPr>
        <w:pStyle w:val="FirstParagraph"/>
      </w:pPr>
      <w:r>
        <w:drawing>
          <wp:inline>
            <wp:extent cx="2935866" cy="2568882"/>
            <wp:effectExtent b="0" l="0" r="0" t="0"/>
            <wp:docPr descr="" title="" id="107" name="Picture"/>
            <a:graphic>
              <a:graphicData uri="http://schemas.openxmlformats.org/drawingml/2006/picture">
                <pic:pic>
                  <pic:nvPicPr>
                    <pic:cNvPr descr="nonparametric_t_tests_lecture_files/figure-docx/nonparametric-t-tests-17-1.png" id="108" name="Picture"/>
                    <pic:cNvPicPr>
                      <a:picLocks noChangeArrowheads="1" noChangeAspect="1"/>
                    </pic:cNvPicPr>
                  </pic:nvPicPr>
                  <pic:blipFill>
                    <a:blip r:embed="rId106"/>
                    <a:stretch>
                      <a:fillRect/>
                    </a:stretch>
                  </pic:blipFill>
                  <pic:spPr bwMode="auto">
                    <a:xfrm>
                      <a:off x="0" y="0"/>
                      <a:ext cx="2935866" cy="2568882"/>
                    </a:xfrm>
                    <a:prstGeom prst="rect">
                      <a:avLst/>
                    </a:prstGeom>
                    <a:noFill/>
                    <a:ln w="9525">
                      <a:noFill/>
                      <a:headEnd/>
                      <a:tailEnd/>
                    </a:ln>
                  </pic:spPr>
                </pic:pic>
              </a:graphicData>
            </a:graphic>
          </wp:inline>
        </w:drawing>
      </w:r>
    </w:p>
    <w:bookmarkEnd w:id="109"/>
    <w:bookmarkStart w:id="113" w:name="permutation-tests-method"/>
    <w:p>
      <w:pPr>
        <w:pStyle w:val="Heading2"/>
      </w:pPr>
      <w:r>
        <w:t xml:space="preserve">Permutation Tests — Method</w:t>
      </w:r>
    </w:p>
    <w:p>
      <w:pPr>
        <w:pStyle w:val="Compact"/>
        <w:numPr>
          <w:ilvl w:val="0"/>
          <w:numId w:val="1023"/>
        </w:numPr>
      </w:pPr>
      <w:r>
        <w:t xml:space="preserve">Randomly reshuffle observations between groups (keeping n₍NE 12₎ = 323 and n₍Island₎ = 10), calculate Δ</w:t>
      </w:r>
    </w:p>
    <w:p>
      <w:pPr>
        <w:pStyle w:val="Compact"/>
        <w:numPr>
          <w:ilvl w:val="0"/>
          <w:numId w:val="1023"/>
        </w:numPr>
      </w:pPr>
      <w:r>
        <w:t xml:space="preserve">Repeat &gt; 1,000 times</w:t>
      </w:r>
    </w:p>
    <w:p>
      <w:pPr>
        <w:pStyle w:val="Compact"/>
        <w:numPr>
          <w:ilvl w:val="0"/>
          <w:numId w:val="1023"/>
        </w:numPr>
      </w:pPr>
      <w:r>
        <w:t xml:space="preserve">Record the proportion of the differences in means as extreme as (or more extreme than) observed</w:t>
      </w:r>
    </w:p>
    <w:p>
      <w:pPr>
        <w:pStyle w:val="Compact"/>
        <w:numPr>
          <w:ilvl w:val="0"/>
          <w:numId w:val="1023"/>
        </w:numPr>
      </w:pPr>
      <w:r>
        <w:t xml:space="preserve">This is equivalent to a p-value, and can be used in the</w:t>
      </w:r>
      <w:r>
        <w:t xml:space="preserve"> </w:t>
      </w:r>
      <w:r>
        <w:t xml:space="preserve">“traditional”</w:t>
      </w:r>
      <w:r>
        <w:t xml:space="preserve"> </w:t>
      </w:r>
      <w:r>
        <w:t xml:space="preserve">hypothesis-testing framework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tip.png" id="11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For a graphical explanation</w:t>
            </w:r>
          </w:p>
          <w:p>
            <w:pPr>
              <w:pStyle w:val="BodyText"/>
            </w:pPr>
            <w:pPr>
              <w:spacing w:after="16"/>
            </w:pPr>
            <w:hyperlink r:id="rId112">
              <w:r>
                <w:rPr>
                  <w:rStyle w:val="Hyperlink"/>
                </w:rPr>
                <w:t xml:space="preserve">jwilber.me/permutationtest</w:t>
              </w:r>
            </w:hyperlink>
          </w:p>
          <w:p/>
        </w:tc>
      </w:tr>
    </w:tbl>
    <w:bookmarkEnd w:id="113"/>
    <w:bookmarkStart w:id="114" w:name="permutation-test-implementation"/>
    <w:p>
      <w:pPr>
        <w:pStyle w:val="Heading2"/>
      </w:pPr>
      <w:r>
        <w:t xml:space="preserve">Permutation Test Implementation</w:t>
      </w:r>
    </w:p>
    <w:p>
      <w:pPr>
        <w:pStyle w:val="FirstParagraph"/>
      </w:pPr>
      <w:r>
        <w:t xml:space="preserve">In R, using the</w:t>
      </w:r>
      <w:r>
        <w:t xml:space="preserve"> </w:t>
      </w:r>
      <w:r>
        <w:rPr>
          <w:rStyle w:val="VerbatimChar"/>
        </w:rPr>
        <w:t xml:space="preserve">perm</w:t>
      </w:r>
      <w:r>
        <w:t xml:space="preserve"> </w:t>
      </w:r>
      <w:r>
        <w:t xml:space="preserve">package. Assumptions: both groups have a similar distribution; equal variance.</w:t>
      </w:r>
    </w:p>
    <w:p>
      <w:pPr>
        <w:pStyle w:val="SourceCode"/>
      </w:pPr>
      <w:r>
        <w:rPr>
          <w:rStyle w:val="FunctionTok"/>
        </w:rPr>
        <w:t xml:space="preserve">library</w:t>
      </w:r>
      <w:r>
        <w:rPr>
          <w:rStyle w:val="NormalTok"/>
        </w:rPr>
        <w:t xml:space="preserve">(perm)</w:t>
      </w:r>
      <w:r>
        <w:br/>
      </w:r>
      <w:r>
        <w:br/>
      </w:r>
      <w:r>
        <w:rPr>
          <w:rStyle w:val="CommentTok"/>
        </w:rPr>
        <w:t xml:space="preserve"># Balance the design: take 25 NE 12 fish, keep all of Island Lake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perm_df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r>
        <w:br/>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The difference the test is about</w:t>
      </w:r>
      <w:r>
        <w:br/>
      </w:r>
      <w:r>
        <w:rPr>
          <w:rStyle w:val="NormalTok"/>
        </w:rPr>
        <w:t xml:space="preserve">perm_df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mean_mm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 tibble: 2 × 3</w:t>
      </w:r>
      <w:r>
        <w:br/>
      </w:r>
      <w:r>
        <w:rPr>
          <w:rStyle w:val="VerbatimChar"/>
        </w:rPr>
        <w:t xml:space="preserve">  lake            n mean_mm</w:t>
      </w:r>
      <w:r>
        <w:br/>
      </w:r>
      <w:r>
        <w:rPr>
          <w:rStyle w:val="VerbatimChar"/>
        </w:rPr>
        <w:t xml:space="preserve">  &lt;chr&gt;       &lt;int&gt;   &lt;dbl&gt;</w:t>
      </w:r>
      <w:r>
        <w:br/>
      </w:r>
      <w:r>
        <w:rPr>
          <w:rStyle w:val="VerbatimChar"/>
        </w:rPr>
        <w:t xml:space="preserve">1 Island Lake    10    698.</w:t>
      </w:r>
      <w:r>
        <w:br/>
      </w:r>
      <w:r>
        <w:rPr>
          <w:rStyle w:val="VerbatimChar"/>
        </w:rPr>
        <w:t xml:space="preserve">2 NE 12          25    365.</w:t>
      </w:r>
    </w:p>
    <w:p>
      <w:pPr>
        <w:pStyle w:val="SourceCode"/>
      </w:pPr>
      <w:r>
        <w:rPr>
          <w:rStyle w:val="FunctionTok"/>
        </w:rPr>
        <w:t xml:space="preserve">permTS</w:t>
      </w:r>
      <w:r>
        <w:rPr>
          <w:rStyle w:val="NormalTok"/>
        </w:rPr>
        <w:t xml:space="preserve">(length_mm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perm_df,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p>
    <w:p>
      <w:pPr>
        <w:pStyle w:val="SourceCode"/>
      </w:pPr>
      <w:r>
        <w:br/>
      </w:r>
      <w:r>
        <w:rPr>
          <w:rStyle w:val="VerbatimChar"/>
        </w:rPr>
        <w:t xml:space="preserve">    Exact Permutation Test Estimated by Monte Carlo</w:t>
      </w:r>
      <w:r>
        <w:br/>
      </w:r>
      <w:r>
        <w:br/>
      </w:r>
      <w:r>
        <w:rPr>
          <w:rStyle w:val="VerbatimChar"/>
        </w:rPr>
        <w:t xml:space="preserve">data:  length_mm by lake</w:t>
      </w:r>
      <w:r>
        <w:br/>
      </w:r>
      <w:r>
        <w:rPr>
          <w:rStyle w:val="VerbatimChar"/>
        </w:rPr>
        <w:t xml:space="preserve">p-value = 2e-04</w:t>
      </w:r>
      <w:r>
        <w:br/>
      </w:r>
      <w:r>
        <w:rPr>
          <w:rStyle w:val="VerbatimChar"/>
        </w:rPr>
        <w:t xml:space="preserve">alternative hypothesis: true mean lake=Island Lake - mean lake=NE 12 is not equal to 0</w:t>
      </w:r>
      <w:r>
        <w:br/>
      </w:r>
      <w:r>
        <w:rPr>
          <w:rStyle w:val="VerbatimChar"/>
        </w:rPr>
        <w:t xml:space="preserve">sample estimates:</w:t>
      </w:r>
      <w:r>
        <w:br/>
      </w:r>
      <w:r>
        <w:rPr>
          <w:rStyle w:val="VerbatimChar"/>
        </w:rPr>
        <w:t xml:space="preserve">mean lake=Island Lake - mean lake=NE 12 </w:t>
      </w:r>
      <w:r>
        <w:br/>
      </w:r>
      <w:r>
        <w:rPr>
          <w:rStyle w:val="VerbatimChar"/>
        </w:rPr>
        <w:t xml:space="preserve">                                 333.08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bookmarkEnd w:id="114"/>
    <w:bookmarkStart w:id="115" w:name="part-7-summary"/>
    <w:p>
      <w:pPr>
        <w:pStyle w:val="Heading2"/>
      </w:pPr>
      <w:r>
        <w:t xml:space="preserve">Part 7 · Summary</w:t>
      </w:r>
    </w:p>
    <w:bookmarkEnd w:id="115"/>
    <w:bookmarkStart w:id="118" w:name="summary-testing-assumptions"/>
    <w:p>
      <w:pPr>
        <w:pStyle w:val="Heading2"/>
      </w:pPr>
      <w:r>
        <w:t xml:space="preserve">Summary — Testing Assumptions</w:t>
      </w:r>
    </w:p>
    <w:p>
      <w:pPr>
        <w:pStyle w:val="FirstParagraph"/>
      </w:pPr>
      <w:r>
        <w:rPr>
          <w:b/>
          <w:bCs/>
        </w:rPr>
        <w:t xml:space="preserve">Key assumptions:</w:t>
      </w:r>
    </w:p>
    <w:p>
      <w:pPr>
        <w:pStyle w:val="Compact"/>
        <w:numPr>
          <w:ilvl w:val="0"/>
          <w:numId w:val="1024"/>
        </w:numPr>
      </w:pPr>
      <w:r>
        <w:rPr>
          <w:b/>
          <w:bCs/>
        </w:rPr>
        <w:t xml:space="preserve">Random sampling</w:t>
      </w:r>
      <w:r>
        <w:t xml:space="preserve"> </w:t>
      </w:r>
      <w:r>
        <w:t xml:space="preserve">— samples are randomly collected from populations</w:t>
      </w:r>
    </w:p>
    <w:p>
      <w:pPr>
        <w:pStyle w:val="Compact"/>
        <w:numPr>
          <w:ilvl w:val="0"/>
          <w:numId w:val="1024"/>
        </w:numPr>
      </w:pPr>
      <w:r>
        <w:rPr>
          <w:b/>
          <w:bCs/>
        </w:rPr>
        <w:t xml:space="preserve">Normality</w:t>
      </w:r>
      <w:r>
        <w:t xml:space="preserve"> </w:t>
      </w:r>
      <w:r>
        <w:t xml:space="preserve">— data follows a normal distribution</w:t>
      </w:r>
    </w:p>
    <w:p>
      <w:pPr>
        <w:pStyle w:val="Compact"/>
        <w:numPr>
          <w:ilvl w:val="0"/>
          <w:numId w:val="1024"/>
        </w:numPr>
      </w:pPr>
      <w:r>
        <w:rPr>
          <w:b/>
          <w:bCs/>
        </w:rPr>
        <w:t xml:space="preserve">Equal variance</w:t>
      </w:r>
      <w:r>
        <w:t xml:space="preserve"> </w:t>
      </w:r>
      <w:r>
        <w:t xml:space="preserve">— samples come from populations with similar variability</w:t>
      </w:r>
    </w:p>
    <w:p>
      <w:pPr>
        <w:pStyle w:val="Compact"/>
        <w:numPr>
          <w:ilvl w:val="0"/>
          <w:numId w:val="1024"/>
        </w:numPr>
      </w:pPr>
      <w:r>
        <w:rPr>
          <w:b/>
          <w:bCs/>
        </w:rPr>
        <w:t xml:space="preserve">No outliers</w:t>
      </w:r>
      <w:r>
        <w:t xml:space="preserve"> </w:t>
      </w:r>
      <w:r>
        <w:t xml:space="preserve">— no extreme values that can skew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note.png" id="1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Assessing assumptions</w:t>
            </w:r>
          </w:p>
          <w:p>
            <w:pPr>
              <w:pStyle w:val="Compact"/>
              <w:numPr>
                <w:ilvl w:val="0"/>
                <w:numId w:val="1025"/>
              </w:numPr>
            </w:pPr>
            <w:r>
              <w:t xml:space="preserve">Key to do</w:t>
            </w:r>
            <w:r>
              <w:t xml:space="preserve"> </w:t>
            </w:r>
            <w:r>
              <w:rPr>
                <w:i/>
                <w:iCs/>
              </w:rPr>
              <w:t xml:space="preserve">every time</w:t>
            </w:r>
          </w:p>
          <w:p>
            <w:pPr>
              <w:pStyle w:val="Compact"/>
              <w:numPr>
                <w:ilvl w:val="0"/>
                <w:numId w:val="1025"/>
              </w:numPr>
            </w:pPr>
            <w:r>
              <w:t xml:space="preserve">Should be acknowledged in the manuscript</w:t>
            </w:r>
          </w:p>
          <w:p/>
        </w:tc>
      </w:tr>
    </w:tbl>
    <w:bookmarkEnd w:id="118"/>
    <w:bookmarkStart w:id="121" w:name="summary-data-transformations"/>
    <w:p>
      <w:pPr>
        <w:pStyle w:val="Heading2"/>
      </w:pPr>
      <w:r>
        <w:t xml:space="preserve">Summary — Data Transformations</w:t>
      </w:r>
    </w:p>
    <w:p>
      <w:pPr>
        <w:pStyle w:val="FirstParagraph"/>
      </w:pPr>
      <w:r>
        <w:t xml:space="preserve">When assumptions aren’t met, transformations may help normalize data:</w:t>
      </w:r>
    </w:p>
    <w:p>
      <w:pPr>
        <w:pStyle w:val="Compact"/>
        <w:numPr>
          <w:ilvl w:val="0"/>
          <w:numId w:val="1026"/>
        </w:numPr>
      </w:pPr>
      <w:r>
        <w:rPr>
          <w:b/>
          <w:bCs/>
        </w:rPr>
        <w:t xml:space="preserve">Log transformation:</w:t>
      </w:r>
      <w:r>
        <w:t xml:space="preserve"> </w:t>
      </w:r>
      <w:r>
        <w:rPr>
          <w:rStyle w:val="VerbatimChar"/>
        </w:rPr>
        <w:t xml:space="preserve">log10(x)</w:t>
      </w:r>
      <w:r>
        <w:t xml:space="preserve"> </w:t>
      </w:r>
      <w:r>
        <w:t xml:space="preserve">— useful for right-skewed data, multiplicative effects</w:t>
      </w:r>
    </w:p>
    <w:p>
      <w:pPr>
        <w:pStyle w:val="Compact"/>
        <w:numPr>
          <w:ilvl w:val="0"/>
          <w:numId w:val="1026"/>
        </w:numPr>
      </w:pPr>
      <w:r>
        <w:rPr>
          <w:b/>
          <w:bCs/>
        </w:rPr>
        <w:t xml:space="preserve">Square root:</w:t>
      </w:r>
      <w:r>
        <w:t xml:space="preserve"> </w:t>
      </w:r>
      <w:r>
        <w:rPr>
          <w:rStyle w:val="VerbatimChar"/>
        </w:rPr>
        <w:t xml:space="preserve">sqrt(x)</w:t>
      </w:r>
      <w:r>
        <w:t xml:space="preserve"> </w:t>
      </w:r>
      <w:r>
        <w:t xml:space="preserve">— useful for count data, moderately right-skewed distributions</w:t>
      </w:r>
    </w:p>
    <w:p>
      <w:pPr>
        <w:pStyle w:val="Compact"/>
        <w:numPr>
          <w:ilvl w:val="0"/>
          <w:numId w:val="1026"/>
        </w:numPr>
      </w:pPr>
      <w:r>
        <w:rPr>
          <w:b/>
          <w:bCs/>
        </w:rPr>
        <w:t xml:space="preserve">Box-Cox:</w:t>
      </w:r>
      <w:r>
        <w:t xml:space="preserve"> </w:t>
      </w:r>
      <w:r>
        <w:t xml:space="preserve">a more flexible family of power transformations</w:t>
      </w:r>
    </w:p>
    <w:p>
      <w:pPr>
        <w:pStyle w:val="Compact"/>
        <w:numPr>
          <w:ilvl w:val="0"/>
          <w:numId w:val="1026"/>
        </w:numPr>
      </w:pPr>
      <w:r>
        <w:t xml:space="preserve">More specialized transformations exist, especially for percentages or proportions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Positron.app/Contents/Resources/app/quarto/share/formats/docx/tip.png" id="12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Recall</w:t>
            </w:r>
          </w:p>
          <w:p>
            <w:pPr>
              <w:pStyle w:val="BodyText"/>
            </w:pPr>
            <w:pPr>
              <w:spacing w:after="16"/>
            </w:pPr>
            <w:r>
              <w:t xml:space="preserve">We saw</w:t>
            </w:r>
            <w:r>
              <w:t xml:space="preserve"> </w:t>
            </w:r>
            <w:r>
              <w:rPr>
                <w:rStyle w:val="VerbatimChar"/>
              </w:rPr>
              <w:t xml:space="preserve">log10()</w:t>
            </w:r>
            <w:r>
              <w:t xml:space="preserve"> </w:t>
            </w:r>
            <w:r>
              <w:t xml:space="preserve">shrink the gap between the NE 12 and Island Lake boxplots earlier — that’s the transformation working.</w:t>
            </w:r>
          </w:p>
          <w:p/>
        </w:tc>
      </w:tr>
    </w:tbl>
    <w:bookmarkEnd w:id="121"/>
    <w:bookmarkStart w:id="122" w:name="summary-parametric-test-options"/>
    <w:p>
      <w:pPr>
        <w:pStyle w:val="Heading2"/>
      </w:pPr>
      <w:r>
        <w:t xml:space="preserve">Summary — Parametric Test Options</w:t>
      </w:r>
    </w:p>
    <w:p>
      <w:pPr>
        <w:pStyle w:val="FirstParagraph"/>
      </w:pPr>
      <w:r>
        <w:rPr>
          <w:b/>
          <w:bCs/>
        </w:rPr>
        <w:t xml:space="preserve">1. Standard t-test</w:t>
      </w:r>
    </w:p>
    <w:p>
      <w:pPr>
        <w:pStyle w:val="BodyText"/>
      </w:pPr>
      <w:r>
        <w:t xml:space="preserve">Strengths:</w:t>
      </w:r>
    </w:p>
    <w:p>
      <w:pPr>
        <w:pStyle w:val="Compact"/>
        <w:numPr>
          <w:ilvl w:val="0"/>
          <w:numId w:val="1027"/>
        </w:numPr>
      </w:pPr>
      <w:r>
        <w:t xml:space="preserve">High statistical power when assumptions are met</w:t>
      </w:r>
    </w:p>
    <w:p>
      <w:pPr>
        <w:pStyle w:val="Compact"/>
        <w:numPr>
          <w:ilvl w:val="0"/>
          <w:numId w:val="1027"/>
        </w:numPr>
      </w:pPr>
      <w:r>
        <w:t xml:space="preserve">Well understood and widely accepted</w:t>
      </w:r>
    </w:p>
    <w:p>
      <w:pPr>
        <w:pStyle w:val="FirstParagraph"/>
      </w:pPr>
      <w:r>
        <w:t xml:space="preserve">Weaknesses:</w:t>
      </w:r>
    </w:p>
    <w:p>
      <w:pPr>
        <w:pStyle w:val="Compact"/>
        <w:numPr>
          <w:ilvl w:val="0"/>
          <w:numId w:val="1028"/>
        </w:numPr>
      </w:pPr>
      <w:r>
        <w:t xml:space="preserve">Sensitive to violations of normality, equal variance</w:t>
      </w:r>
    </w:p>
    <w:p>
      <w:pPr>
        <w:pStyle w:val="Compact"/>
        <w:numPr>
          <w:ilvl w:val="0"/>
          <w:numId w:val="1028"/>
        </w:numPr>
      </w:pPr>
      <w:r>
        <w:t xml:space="preserve">Heavily influenced by outliers</w:t>
      </w:r>
    </w:p>
    <w:p>
      <w:pPr>
        <w:pStyle w:val="FirstParagraph"/>
      </w:pPr>
      <w:r>
        <w:rPr>
          <w:b/>
          <w:bCs/>
        </w:rPr>
        <w:t xml:space="preserve">2. Welch’s t-test</w:t>
      </w:r>
    </w:p>
    <w:p>
      <w:pPr>
        <w:pStyle w:val="BodyText"/>
      </w:pPr>
      <w:r>
        <w:t xml:space="preserve">Strengths:</w:t>
      </w:r>
    </w:p>
    <w:p>
      <w:pPr>
        <w:pStyle w:val="Compact"/>
        <w:numPr>
          <w:ilvl w:val="0"/>
          <w:numId w:val="1029"/>
        </w:numPr>
      </w:pPr>
      <w:r>
        <w:t xml:space="preserve">Robust to violations of the equal-variance assumption</w:t>
      </w:r>
    </w:p>
    <w:p>
      <w:pPr>
        <w:pStyle w:val="Compact"/>
        <w:numPr>
          <w:ilvl w:val="0"/>
          <w:numId w:val="1029"/>
        </w:numPr>
      </w:pPr>
      <w:r>
        <w:t xml:space="preserve">Handles unequal sample sizes well</w:t>
      </w:r>
    </w:p>
    <w:p>
      <w:pPr>
        <w:pStyle w:val="Compact"/>
        <w:numPr>
          <w:ilvl w:val="0"/>
          <w:numId w:val="1029"/>
        </w:numPr>
      </w:pPr>
      <w:r>
        <w:t xml:space="preserve">Still parametric (assumes normality)</w:t>
      </w:r>
    </w:p>
    <w:p>
      <w:pPr>
        <w:pStyle w:val="FirstParagraph"/>
      </w:pPr>
      <w:r>
        <w:t xml:space="preserve">Weaknesses:</w:t>
      </w:r>
    </w:p>
    <w:p>
      <w:pPr>
        <w:pStyle w:val="Compact"/>
        <w:numPr>
          <w:ilvl w:val="0"/>
          <w:numId w:val="1030"/>
        </w:numPr>
      </w:pPr>
      <w:r>
        <w:t xml:space="preserve">Slightly less powerful than the standard t-test when variances are equal</w:t>
      </w:r>
    </w:p>
    <w:p>
      <w:pPr>
        <w:pStyle w:val="Compact"/>
        <w:numPr>
          <w:ilvl w:val="0"/>
          <w:numId w:val="1030"/>
        </w:numPr>
      </w:pPr>
      <w:r>
        <w:t xml:space="preserve">Still assumes a normal distribution</w:t>
      </w:r>
    </w:p>
    <w:bookmarkEnd w:id="122"/>
    <w:bookmarkStart w:id="123" w:name="summary-non-parametric-options"/>
    <w:p>
      <w:pPr>
        <w:pStyle w:val="Heading2"/>
      </w:pPr>
      <w:r>
        <w:t xml:space="preserve">Summary — Non-Parametric Options</w:t>
      </w:r>
    </w:p>
    <w:p>
      <w:pPr>
        <w:pStyle w:val="FirstParagraph"/>
      </w:pPr>
      <w:r>
        <w:rPr>
          <w:b/>
          <w:bCs/>
        </w:rPr>
        <w:t xml:space="preserve">3. Mann-Whitney-Wilcoxon test</w:t>
      </w:r>
    </w:p>
    <w:p>
      <w:pPr>
        <w:pStyle w:val="BodyText"/>
      </w:pPr>
      <w:r>
        <w:t xml:space="preserve">Strengths:</w:t>
      </w:r>
    </w:p>
    <w:p>
      <w:pPr>
        <w:pStyle w:val="Compact"/>
        <w:numPr>
          <w:ilvl w:val="0"/>
          <w:numId w:val="1031"/>
        </w:numPr>
      </w:pPr>
      <w:r>
        <w:t xml:space="preserve">Non-parametric: doesn’t assume normal distribution</w:t>
      </w:r>
    </w:p>
    <w:p>
      <w:pPr>
        <w:pStyle w:val="Compact"/>
        <w:numPr>
          <w:ilvl w:val="0"/>
          <w:numId w:val="1031"/>
        </w:numPr>
      </w:pPr>
      <w:r>
        <w:t xml:space="preserve">Robust against outliers</w:t>
      </w:r>
    </w:p>
    <w:p>
      <w:pPr>
        <w:pStyle w:val="Compact"/>
        <w:numPr>
          <w:ilvl w:val="0"/>
          <w:numId w:val="1031"/>
        </w:numPr>
      </w:pPr>
      <w:r>
        <w:t xml:space="preserve">Works with ordinal data</w:t>
      </w:r>
    </w:p>
    <w:p>
      <w:pPr>
        <w:pStyle w:val="FirstParagraph"/>
      </w:pPr>
      <w:r>
        <w:t xml:space="preserve">Weaknesses:</w:t>
      </w:r>
    </w:p>
    <w:p>
      <w:pPr>
        <w:pStyle w:val="Compact"/>
        <w:numPr>
          <w:ilvl w:val="0"/>
          <w:numId w:val="1032"/>
        </w:numPr>
      </w:pPr>
      <w:r>
        <w:t xml:space="preserve">Less statistical power than parametric tests</w:t>
      </w:r>
    </w:p>
    <w:p>
      <w:pPr>
        <w:pStyle w:val="Compact"/>
        <w:numPr>
          <w:ilvl w:val="0"/>
          <w:numId w:val="1032"/>
        </w:numPr>
      </w:pPr>
      <w:r>
        <w:t xml:space="preserve">Still assumes similar distributions and approximately equal variance</w:t>
      </w:r>
    </w:p>
    <w:p>
      <w:pPr>
        <w:pStyle w:val="Compact"/>
        <w:numPr>
          <w:ilvl w:val="0"/>
          <w:numId w:val="1032"/>
        </w:numPr>
      </w:pPr>
      <w:r>
        <w:t xml:space="preserve">Tests median differences rather than mean differences</w:t>
      </w:r>
    </w:p>
    <w:p>
      <w:pPr>
        <w:pStyle w:val="Compact"/>
        <w:numPr>
          <w:ilvl w:val="0"/>
          <w:numId w:val="1032"/>
        </w:numPr>
      </w:pPr>
      <w:r>
        <w:rPr>
          <w:b/>
          <w:bCs/>
        </w:rPr>
        <w:t xml:space="preserve">At small n there is a hard floor on the p-value</w:t>
      </w:r>
      <w:r>
        <w:t xml:space="preserve"> </w:t>
      </w:r>
      <w:r>
        <w:t xml:space="preserve">— with 4 pairs a signed-rank test cannot go below 0.125 (see Part 5b)</w:t>
      </w:r>
    </w:p>
    <w:p>
      <w:pPr>
        <w:pStyle w:val="FirstParagraph"/>
      </w:pPr>
      <w:r>
        <w:rPr>
          <w:b/>
          <w:bCs/>
        </w:rPr>
        <w:t xml:space="preserve">4. Permutation tests</w:t>
      </w:r>
    </w:p>
    <w:p>
      <w:pPr>
        <w:pStyle w:val="BodyText"/>
      </w:pPr>
      <w:r>
        <w:t xml:space="preserve">Strengths:</w:t>
      </w:r>
    </w:p>
    <w:p>
      <w:pPr>
        <w:pStyle w:val="Compact"/>
        <w:numPr>
          <w:ilvl w:val="0"/>
          <w:numId w:val="1033"/>
        </w:numPr>
      </w:pPr>
      <w:r>
        <w:t xml:space="preserve">Distribution-free: doesn’t assume a specific distribution</w:t>
      </w:r>
    </w:p>
    <w:p>
      <w:pPr>
        <w:pStyle w:val="Compact"/>
        <w:numPr>
          <w:ilvl w:val="0"/>
          <w:numId w:val="1033"/>
        </w:numPr>
      </w:pPr>
      <w:r>
        <w:t xml:space="preserve">Can be applied to many types of test statistics</w:t>
      </w:r>
    </w:p>
    <w:p>
      <w:pPr>
        <w:pStyle w:val="Compact"/>
        <w:numPr>
          <w:ilvl w:val="0"/>
          <w:numId w:val="1033"/>
        </w:numPr>
      </w:pPr>
      <w:r>
        <w:t xml:space="preserve">Valid at small n — the p-value is exact, not an approximation</w:t>
      </w:r>
    </w:p>
    <w:p>
      <w:pPr>
        <w:pStyle w:val="Compact"/>
        <w:numPr>
          <w:ilvl w:val="0"/>
          <w:numId w:val="1033"/>
        </w:numPr>
      </w:pPr>
      <w:r>
        <w:t xml:space="preserve">Directly estimates p-values through resampling</w:t>
      </w:r>
    </w:p>
    <w:p>
      <w:pPr>
        <w:pStyle w:val="FirstParagraph"/>
      </w:pPr>
      <w:r>
        <w:t xml:space="preserve">Weaknesses:</w:t>
      </w:r>
    </w:p>
    <w:p>
      <w:pPr>
        <w:pStyle w:val="Compact"/>
        <w:numPr>
          <w:ilvl w:val="0"/>
          <w:numId w:val="1034"/>
        </w:numPr>
      </w:pPr>
      <w:r>
        <w:t xml:space="preserve">Computationally intensive</w:t>
      </w:r>
    </w:p>
    <w:p>
      <w:pPr>
        <w:pStyle w:val="Compact"/>
        <w:numPr>
          <w:ilvl w:val="0"/>
          <w:numId w:val="1034"/>
        </w:numPr>
      </w:pPr>
      <w:r>
        <w:t xml:space="preserve">Assumes exchangeability under the null hypothesis</w:t>
      </w:r>
    </w:p>
    <w:p>
      <w:pPr>
        <w:pStyle w:val="Compact"/>
        <w:numPr>
          <w:ilvl w:val="0"/>
          <w:numId w:val="1034"/>
        </w:numPr>
      </w:pPr>
      <w:r>
        <w:t xml:space="preserve">Requires similar distributions and equal variance</w:t>
      </w:r>
    </w:p>
    <w:p>
      <w:pPr>
        <w:pStyle w:val="Compact"/>
        <w:numPr>
          <w:ilvl w:val="0"/>
          <w:numId w:val="1034"/>
        </w:numPr>
      </w:pPr>
      <w:r>
        <w:rPr>
          <w:b/>
          <w:bCs/>
        </w:rPr>
        <w:t xml:space="preserve">Hits the same small-n floor as the rank tests</w:t>
      </w:r>
      <w:r>
        <w:t xml:space="preserve"> </w:t>
      </w:r>
      <w:r>
        <w:t xml:space="preserve">— being exact is not the same as being powerful, because there are only so many ways to rearrange 8 numbers</w:t>
      </w:r>
    </w:p>
    <w:bookmarkEnd w:id="123"/>
    <w:bookmarkStart w:id="126" w:name="key-takeaway"/>
    <w:p>
      <w:pPr>
        <w:pStyle w:val="Heading2"/>
      </w:pPr>
      <w:r>
        <w:t xml:space="preserve">Key Takeaway</w:t>
      </w:r>
    </w:p>
    <w:p>
      <w:pPr>
        <w:pStyle w:val="FirstParagraph"/>
      </w:pPr>
      <w:r>
        <w:t xml:space="preserve">Statistical tests have different strengths and assumptions. The choice should be guided by your data’s characteristics, not just convenience.</w:t>
      </w:r>
    </w:p>
    <w:p>
      <w:pPr>
        <w:pStyle w:val="BodyText"/>
      </w:pPr>
      <w:r>
        <w:rPr>
          <w:b/>
          <w:bCs/>
        </w:rPr>
        <w:t xml:space="preserve">Always visualize your data before deciding on the appropriate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note.png" id="1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Standard t-test → Welch’s → Mann-Whitney/Permutation isn’t a strict ladder of</w:t>
            </w:r>
            <w:r>
              <w:t xml:space="preserve"> </w:t>
            </w:r>
            <w:r>
              <w:t xml:space="preserve">“better”</w:t>
            </w:r>
            <w:r>
              <w:t xml:space="preserve"> </w:t>
            </w:r>
            <w:r>
              <w:t xml:space="preserve">tests — each answers a slightly different question (means vs. medians) under different assumptions. Pick based on what your data actually looks like.</w:t>
            </w:r>
          </w:p>
          <w:p/>
        </w:tc>
      </w:tr>
    </w:tbl>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70" Target="media/rId70.jp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6" Target="media/rId76.png" /><Relationship Type="http://schemas.openxmlformats.org/officeDocument/2006/relationships/image" Id="rId106" Target="media/rId106.png" /><Relationship Type="http://schemas.openxmlformats.org/officeDocument/2006/relationships/hyperlink" Id="rId89" Target="data/pine_data.csv" TargetMode="External"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112" Target="https://www.jwilber.me/permutationtest/" TargetMode="External" /></Relationships>
</file>

<file path=word/_rels/footnotes.xml.rels><?xml version="1.0" encoding="UTF-8"?><Relationships xmlns="http://schemas.openxmlformats.org/package/2006/relationships"><Relationship Type="http://schemas.openxmlformats.org/officeDocument/2006/relationships/hyperlink" Id="rId89" Target="data/pine_data.csv" TargetMode="External"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112" Target="https://www.jwilber.me/permutation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Non-Parametric T-Tests</dc:title>
  <dc:creator>Bill Perry</dc:creator>
  <dc:description>Assumptions of parametric tests, data transformations, Welch’s t-test, rank-based tests (Mann-Whitney), and permutation tests when assumptions fail — on the lake trout dataset.</dc:description>
  <cp:keywords/>
  <dcterms:created xsi:type="dcterms:W3CDTF">2026-09-15T02:07:41Z</dcterms:created>
  <dcterms:modified xsi:type="dcterms:W3CDTF">2026-09-15T02:07:41Z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7</vt:lpwstr>
  </property>
  <property fmtid="{D5CDD505-2E9C-101B-9397-08002B2CF9AE}" pid="14" name="resources">
    <vt:lpwstr/>
  </property>
  <property fmtid="{D5CDD505-2E9C-101B-9397-08002B2CF9AE}" pid="15" name="subtitle">
    <vt:lpwstr>Rank-based tests</vt:lpwstr>
  </property>
  <property fmtid="{D5CDD505-2E9C-101B-9397-08002B2CF9AE}" pid="16" name="toc-title">
    <vt:lpwstr>Table of contents</vt:lpwstr>
  </property>
  <property fmtid="{D5CDD505-2E9C-101B-9397-08002B2CF9AE}" pid="17" name="week">
    <vt:lpwstr>4</vt:lpwstr>
  </property>
</Properties>
</file>