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2026-08-26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12 — Strings and Factors.</w:t>
      </w:r>
      <w:r>
        <w:t xml:space="preserve"> </w:t>
      </w:r>
      <w:r>
        <w:rPr>
          <w:i/>
          <w:iCs/>
        </w:rPr>
        <w:t xml:space="preserve">Next: Common Code 13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Strings and Factors</dc:title>
  <dc:creator>Bill Perry</dc:creator>
  <dc:description>How to arrange and work with factors</dc:description>
  <cp:keywords/>
  <dcterms:created xsi:type="dcterms:W3CDTF">2026-08-26T17:16:05Z</dcterms:created>
  <dcterms:modified xsi:type="dcterms:W3CDTF">2026-08-26T17:16:05Z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2026-08-26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stringr for text cleaning, forcats for plot order</vt:lpwstr>
  </property>
  <property fmtid="{D5CDD505-2E9C-101B-9397-08002B2CF9AE}" pid="14" name="toc-title">
    <vt:lpwstr>Table of contents</vt:lpwstr>
  </property>
  <property fmtid="{D5CDD505-2E9C-101B-9397-08002B2CF9AE}" pid="15" name="topic_number">
    <vt:lpwstr>12</vt:lpwstr>
  </property>
  <property fmtid="{D5CDD505-2E9C-101B-9397-08002B2CF9AE}" pid="16" name="type">
    <vt:lpwstr>common_code</vt:lpwstr>
  </property>
</Properties>
</file>