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5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6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4" w:name="how-to-use-this-worksheet"/>
      <w:r>
        <w:t xml:space="preserve">How to use this worksheet</w:t>
      </w:r>
      <w:bookmarkEnd w:id="14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07_nonparametric_t_tests.R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runs in two halves.</w:t>
      </w:r>
      <w:r>
        <w:t xml:space="preserve"> </w:t>
      </w:r>
      <w:r>
        <w:rPr>
          <w:b/>
          <w:bCs/>
        </w:rPr>
        <w:t xml:space="preserve">Part 1</w:t>
      </w:r>
      <w:r>
        <w:t xml:space="preserve"> </w:t>
      </w:r>
      <w:r>
        <w:t xml:space="preserve">returns to the pine needles you collected: you check the assumptions, find that they hold, measure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with Cohen’s d, and run the rank-based tests anyway to see what they cost.</w:t>
      </w:r>
      <w:r>
        <w:t xml:space="preserve"> </w:t>
      </w:r>
      <w:r>
        <w:rPr>
          <w:b/>
          <w:bCs/>
        </w:rPr>
        <w:t xml:space="preserve">Parts 2-7</w:t>
      </w:r>
      <w:r>
        <w:t xml:space="preserve"> </w:t>
      </w:r>
      <w:r>
        <w:t xml:space="preserve">move to lake trout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from Island Lake and NE 12, where the assumptions genuinely fail — testing assumptions, transforming data, and running several different tests (standard t-test, log-transformed t-test, Welch’s t-test, Mann-Whitney Wilcoxon, permutation test), then interpreting and reporting the results properly.</w:t>
      </w:r>
      <w:r>
        <w:t xml:space="preserve"> </w:t>
      </w:r>
      <w:r>
        <w:rPr>
          <w:b/>
          <w:bCs/>
        </w:rPr>
        <w:t xml:space="preserve">Everything after Part 1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mass_g</w:t>
      </w:r>
      <w:r>
        <w:rPr>
          <w:b/>
          <w:bCs/>
        </w:rPr>
        <w:t xml:space="preserve">.</w:t>
      </w:r>
    </w:p>
    <w:bookmarkStart w:id="15" w:name="section"/>
    <w:p>
      <w:pPr>
        <w:pStyle w:val="Heading2"/>
      </w:pPr>
      <w:r>
        <w:t xml:space="preserve">————————————————————————</w:t>
      </w:r>
    </w:p>
    <w:bookmarkEnd w:id="15"/>
    <w:bookmarkEnd w:id="16"/>
    <w:bookmarkStart w:id="30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8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bookmarkEnd w:id="28"/>
    <w:bookmarkStart w:id="29" w:name="section-1"/>
    <w:p>
      <w:pPr>
        <w:pStyle w:val="Heading2"/>
      </w:pPr>
      <w:r>
        <w:t xml:space="preserve">————————————————————————</w:t>
      </w:r>
    </w:p>
    <w:bookmarkEnd w:id="29"/>
    <w:bookmarkEnd w:id="30"/>
    <w:bookmarkStart w:id="33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1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bookmarkStart w:id="50" w:name="section-2"/>
    <w:p>
      <w:pPr>
        <w:pStyle w:val="Heading2"/>
      </w:pPr>
      <w:r>
        <w:t xml:space="preserve">————————————————————————</w:t>
      </w:r>
    </w:p>
    <w:bookmarkEnd w:id="50"/>
    <w:bookmarkEnd w:id="51"/>
    <w:bookmarkStart w:id="68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6"/>
    <w:bookmarkStart w:id="6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62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71"/>
    <w:bookmarkStart w:id="7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57" Target="media/rId57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2026-09-25T18:54:22Z</dcterms:created>
  <dcterms:modified xsi:type="dcterms:W3CDTF">2026-09-25T18:54:22Z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