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28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9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9"/>
    <w:bookmarkStart w:id="10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10"/>
    <w:bookmarkStart w:id="15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11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15"/>
    <w:bookmarkStart w:id="16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16"/>
    <w:bookmarkStart w:id="17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 ‘course schedule’)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17"/>
    <w:bookmarkStart w:id="18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 “publication quality” 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18"/>
    <w:bookmarkStart w:id="19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 ‘F’ letter grade.</w:t>
      </w:r>
    </w:p>
    <w:bookmarkEnd w:id="19"/>
    <w:bookmarkStart w:id="20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20"/>
    <w:bookmarkStart w:id="21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21"/>
    <w:bookmarkStart w:id="23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22">
        <w:r>
          <w:rPr>
            <w:rStyle w:val="Hyperlink"/>
          </w:rPr>
          <w:t xml:space="preserve">https://evcaa.d.umn.edu/student-academic-integrity</w:t>
        </w:r>
      </w:hyperlink>
    </w:p>
    <w:bookmarkEnd w:id="23"/>
    <w:bookmarkStart w:id="25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24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25"/>
    <w:bookmarkStart w:id="26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26"/>
    <w:bookmarkStart w:id="27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27"/>
    <w:bookmarkEnd w:id="2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2026-07-03T21:42:44Z</dcterms:created>
  <dcterms:modified xsi:type="dcterms:W3CDTF">2026-07-03T21:42:44Z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