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2.png" ContentType="image/png"/>
  <Override PartName="/word/media/rId46.png" ContentType="image/png"/>
  <Override PartName="/word/media/rId30.png" ContentType="image/png"/>
  <Override PartName="/word/media/rId25.png" ContentType="image/png"/>
  <Override PartName="/word/media/rId65.png" ContentType="image/png"/>
  <Override PartName="/word/media/rId57.png" ContentType="image/png"/>
  <Override PartName="/word/media/rId18.png" ContentType="image/png"/>
  <Override PartName="/word/media/rId10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13" w:name="lecture-16-review"/>
    <w:p>
      <w:pPr>
        <w:pStyle w:val="Heading1"/>
      </w:pPr>
      <w:r>
        <w:t xml:space="preserve">Lecture 16: Review</w:t>
      </w:r>
    </w:p>
    <w:bookmarkStart w:id="9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9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53952641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4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4"/>
    <w:bookmarkEnd w:id="15"/>
    <w:bookmarkStart w:id="17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6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6"/>
    <w:bookmarkEnd w:id="17"/>
    <w:bookmarkStart w:id="21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20447115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2"/>
    <w:bookmarkStart w:id="23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23"/>
    <w:bookmarkStart w:id="24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24"/>
    <w:bookmarkStart w:id="28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what-is-pca-goals-and-overview"/>
    <w:p>
      <w:pPr>
        <w:pStyle w:val="Heading1"/>
      </w:pPr>
      <w:r>
        <w:t xml:space="preserve">What is PCA? Goals and Overview</w:t>
      </w:r>
    </w:p>
    <w:bookmarkStart w:id="29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2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5" w:name="high-dimensional-data-visualization"/>
    <w:p>
      <w:pPr>
        <w:pStyle w:val="Heading1"/>
      </w:pPr>
      <w:r>
        <w:t xml:space="preserve">High-Dimensional Data Visualization</w:t>
      </w:r>
    </w:p>
    <w:bookmarkStart w:id="34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34"/>
    <w:bookmarkEnd w:id="35"/>
    <w:bookmarkStart w:id="37" w:name="X1293394d684ede0cda98fb4be27a8c311d8da1f"/>
    <w:p>
      <w:pPr>
        <w:pStyle w:val="Heading1"/>
      </w:pPr>
      <w:r>
        <w:t xml:space="preserve">PCA Assumptions - Critical to Check First!</w:t>
      </w:r>
    </w:p>
    <w:bookmarkStart w:id="36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36"/>
    <w:bookmarkEnd w:id="37"/>
    <w:bookmarkStart w:id="41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1" w:name="step-3-standardize-the-data"/>
    <w:p>
      <w:pPr>
        <w:pStyle w:val="Heading1"/>
      </w:pPr>
      <w:r>
        <w:t xml:space="preserve">Step 3: Standardize the Data</w:t>
      </w:r>
    </w:p>
    <w:bookmarkStart w:id="50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50"/>
    <w:bookmarkEnd w:id="51"/>
    <w:bookmarkStart w:id="56" w:name="step-4-perform-pca---the-mathematics"/>
    <w:p>
      <w:pPr>
        <w:pStyle w:val="Heading1"/>
      </w:pPr>
      <w:r>
        <w:t xml:space="preserve">Step 4: Perform PCA - The Mathematics</w:t>
      </w:r>
    </w:p>
    <w:bookmarkStart w:id="52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52"/>
    <w:bookmarkStart w:id="53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53"/>
    <w:bookmarkStart w:id="54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54"/>
    <w:bookmarkStart w:id="55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55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56"/>
    <w:bookmarkStart w:id="60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194543311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6999508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5120137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69"/>
    <w:bookmarkStart w:id="75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74" w:name="understanding-eigenvalues-and-variance"/>
    <w:p>
      <w:pPr>
        <w:pStyle w:val="Heading2"/>
      </w:pPr>
      <w:r>
        <w:t xml:space="preserve">Understanding Eigenvalues and Variance</w:t>
      </w:r>
    </w:p>
    <w:bookmarkStart w:id="70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0"/>
    <w:bookmarkStart w:id="71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1"/>
    <w:bookmarkStart w:id="72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72"/>
    <w:bookmarkStart w:id="73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73"/>
    <w:bookmarkEnd w:id="74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75"/>
    <w:bookmarkStart w:id="80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76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76"/>
    <w:bookmarkStart w:id="77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77"/>
    <w:bookmarkStart w:id="78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78"/>
    <w:bookmarkStart w:id="79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79"/>
    <w:bookmarkEnd w:id="80"/>
    <w:bookmarkStart w:id="81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81"/>
    <w:bookmarkStart w:id="86" w:name="X1795b79ec99129ce1328a3d5c8f9478f7ca057d"/>
    <w:p>
      <w:pPr>
        <w:pStyle w:val="Heading1"/>
      </w:pPr>
      <w:r>
        <w:t xml:space="preserve">Step 6: Interpret the Components - Loadings</w:t>
      </w:r>
    </w:p>
    <w:bookmarkStart w:id="8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82"/>
    <w:bookmarkStart w:id="8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83"/>
    <w:bookmarkStart w:id="8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84"/>
    <w:bookmarkStart w:id="8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8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86"/>
    <w:bookmarkStart w:id="89" w:name="step-6-eigenvector-properties"/>
    <w:p>
      <w:pPr>
        <w:pStyle w:val="Heading1"/>
      </w:pPr>
      <w:r>
        <w:t xml:space="preserve">Step 6: Eigenvector Properties</w:t>
      </w:r>
    </w:p>
    <w:bookmarkStart w:id="87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87"/>
    <w:bookmarkStart w:id="88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88"/>
    <w:bookmarkEnd w:id="89"/>
    <w:bookmarkStart w:id="90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0"/>
    <w:bookmarkStart w:id="91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91"/>
    <w:bookmarkStart w:id="96" w:name="step-7-pca-biplot---the-main-result"/>
    <w:p>
      <w:pPr>
        <w:pStyle w:val="Heading1"/>
      </w:pPr>
      <w:r>
        <w:t xml:space="preserve">Step 7: PCA Biplot - The Main Result</w:t>
      </w:r>
    </w:p>
    <w:bookmarkStart w:id="95" w:name="key-insights-from-this-biplot"/>
    <w:p>
      <w:pPr>
        <w:pStyle w:val="Heading2"/>
      </w:pPr>
      <w:r>
        <w:t xml:space="preserve">Key insights from this biplot:</w:t>
      </w:r>
    </w:p>
    <w:bookmarkStart w:id="92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92"/>
    <w:bookmarkStart w:id="93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93"/>
    <w:bookmarkStart w:id="94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94"/>
    <w:bookmarkEnd w:id="95"/>
    <w:bookmarkEnd w:id="96"/>
    <w:bookmarkStart w:id="97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97"/>
    <w:bookmarkStart w:id="99" w:name="step-8-interpret-pc1-results"/>
    <w:p>
      <w:pPr>
        <w:pStyle w:val="Heading1"/>
      </w:pPr>
      <w:r>
        <w:t xml:space="preserve">Step 8: Interpret PC1 Results</w:t>
      </w:r>
    </w:p>
    <w:bookmarkStart w:id="98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98"/>
    <w:bookmarkEnd w:id="99"/>
    <w:bookmarkStart w:id="103" w:name="pc1-interpretation-overall-flower-size"/>
    <w:p>
      <w:pPr>
        <w:pStyle w:val="Heading1"/>
      </w:pPr>
      <w:r>
        <w:t xml:space="preserve">PC1 Interpretation: Overall Flower Size</w:t>
      </w:r>
    </w:p>
    <w:bookmarkStart w:id="100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00"/>
    <w:bookmarkStart w:id="101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01"/>
    <w:bookmarkStart w:id="102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02"/>
    <w:bookmarkEnd w:id="103"/>
    <w:bookmarkStart w:id="105" w:name="step-8-interpret-pc2-results"/>
    <w:p>
      <w:pPr>
        <w:pStyle w:val="Heading1"/>
      </w:pPr>
      <w:r>
        <w:t xml:space="preserve">Step 8: Interpret PC2 Results</w:t>
      </w:r>
    </w:p>
    <w:bookmarkStart w:id="104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04"/>
    <w:bookmarkEnd w:id="105"/>
    <w:bookmarkStart w:id="110" w:name="pc2-interpretation-flower-shape-contrast"/>
    <w:p>
      <w:pPr>
        <w:pStyle w:val="Heading1"/>
      </w:pPr>
      <w:r>
        <w:t xml:space="preserve">PC2 Interpretation: Flower Shape Contrast</w:t>
      </w:r>
    </w:p>
    <w:bookmarkStart w:id="106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06"/>
    <w:bookmarkStart w:id="107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07"/>
    <w:bookmarkStart w:id="108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08"/>
    <w:bookmarkStart w:id="109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09"/>
    <w:bookmarkEnd w:id="110"/>
    <w:bookmarkStart w:id="111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11"/>
    <w:bookmarkStart w:id="114" w:name="summary-what-we-learned"/>
    <w:p>
      <w:pPr>
        <w:pStyle w:val="Heading1"/>
      </w:pPr>
      <w:r>
        <w:t xml:space="preserve">Summary: What We Learned</w:t>
      </w:r>
    </w:p>
    <w:bookmarkStart w:id="112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12"/>
    <w:bookmarkStart w:id="113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13"/>
    <w:bookmarkEnd w:id="114"/>
    <w:bookmarkStart w:id="117" w:name="when-to-use-pca-vs.-other-methods"/>
    <w:p>
      <w:pPr>
        <w:pStyle w:val="Heading1"/>
      </w:pPr>
      <w:r>
        <w:t xml:space="preserve">When to Use PCA vs. Other Methods</w:t>
      </w:r>
    </w:p>
    <w:bookmarkStart w:id="115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15"/>
    <w:bookmarkStart w:id="116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2026-05-04T00:38:43Z</dcterms:created>
  <dcterms:modified xsi:type="dcterms:W3CDTF">2026-05-04T00:38:43Z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