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349919" w14:textId="77777777" w:rsidR="0087063D" w:rsidRPr="00B90592" w:rsidRDefault="0087063D" w:rsidP="00B90592">
      <w:pPr>
        <w:spacing w:line="240" w:lineRule="auto"/>
        <w:jc w:val="center"/>
        <w:rPr>
          <w:rFonts w:ascii="Times New Roman" w:eastAsia="Times New Roman" w:hAnsi="Times New Roman" w:cs="Times New Roman"/>
          <w:b/>
          <w:sz w:val="24"/>
          <w:szCs w:val="24"/>
        </w:rPr>
      </w:pPr>
      <w:r w:rsidRPr="00B90592">
        <w:rPr>
          <w:rFonts w:ascii="Times New Roman" w:hAnsi="Times New Roman" w:cs="Times New Roman"/>
          <w:noProof/>
          <w:sz w:val="24"/>
          <w:szCs w:val="24"/>
        </w:rPr>
        <w:drawing>
          <wp:inline distT="0" distB="0" distL="0" distR="0" wp14:anchorId="61603452" wp14:editId="42C42261">
            <wp:extent cx="1554480" cy="457200"/>
            <wp:effectExtent l="0" t="0" r="7620" b="0"/>
            <wp:docPr id="15" name="Picture 15" descr="C:\Users\cmoreil\Desktop\edd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oreil\Desktop\eddie.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0383"/>
                    <a:stretch/>
                  </pic:blipFill>
                  <pic:spPr bwMode="auto">
                    <a:xfrm>
                      <a:off x="0" y="0"/>
                      <a:ext cx="1554480" cy="457200"/>
                    </a:xfrm>
                    <a:prstGeom prst="rect">
                      <a:avLst/>
                    </a:prstGeom>
                    <a:noFill/>
                    <a:ln>
                      <a:noFill/>
                    </a:ln>
                    <a:extLst>
                      <a:ext uri="{53640926-AAD7-44D8-BBD7-CCE9431645EC}">
                        <a14:shadowObscured xmlns:a14="http://schemas.microsoft.com/office/drawing/2010/main"/>
                      </a:ext>
                    </a:extLst>
                  </pic:spPr>
                </pic:pic>
              </a:graphicData>
            </a:graphic>
          </wp:inline>
        </w:drawing>
      </w:r>
      <w:r w:rsidRPr="00B90592">
        <w:rPr>
          <w:rFonts w:ascii="Times New Roman" w:eastAsia="Times New Roman" w:hAnsi="Times New Roman" w:cs="Times New Roman"/>
          <w:b/>
          <w:sz w:val="24"/>
          <w:szCs w:val="24"/>
        </w:rPr>
        <w:t xml:space="preserve">  </w:t>
      </w:r>
      <w:r w:rsidR="00B90592" w:rsidRPr="00B90592">
        <w:rPr>
          <w:rFonts w:ascii="Times New Roman" w:eastAsia="Times New Roman" w:hAnsi="Times New Roman" w:cs="Times New Roman"/>
          <w:b/>
          <w:sz w:val="24"/>
          <w:szCs w:val="24"/>
        </w:rPr>
        <w:t xml:space="preserve">       </w:t>
      </w:r>
      <w:r w:rsidRPr="00B90592">
        <w:rPr>
          <w:rFonts w:ascii="Times New Roman" w:eastAsia="Times New Roman" w:hAnsi="Times New Roman" w:cs="Times New Roman"/>
          <w:b/>
          <w:sz w:val="24"/>
          <w:szCs w:val="24"/>
        </w:rPr>
        <w:t xml:space="preserve">    </w:t>
      </w:r>
      <w:r w:rsidRPr="00B90592">
        <w:rPr>
          <w:rFonts w:ascii="Times New Roman" w:hAnsi="Times New Roman" w:cs="Times New Roman"/>
          <w:noProof/>
          <w:sz w:val="24"/>
          <w:szCs w:val="24"/>
        </w:rPr>
        <w:drawing>
          <wp:inline distT="0" distB="0" distL="0" distR="0" wp14:anchorId="7967AEFD" wp14:editId="19B11241">
            <wp:extent cx="630936" cy="457200"/>
            <wp:effectExtent l="0" t="0" r="0" b="0"/>
            <wp:docPr id="12" name="Picture 12" descr="C:\Users\cmoreil\AppData\Local\Temp\NAG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oreil\AppData\Local\Temp\NAGT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936" cy="457200"/>
                    </a:xfrm>
                    <a:prstGeom prst="rect">
                      <a:avLst/>
                    </a:prstGeom>
                    <a:noFill/>
                    <a:ln>
                      <a:noFill/>
                    </a:ln>
                  </pic:spPr>
                </pic:pic>
              </a:graphicData>
            </a:graphic>
          </wp:inline>
        </w:drawing>
      </w:r>
      <w:r w:rsidRPr="00B90592">
        <w:rPr>
          <w:rFonts w:ascii="Times New Roman" w:eastAsia="Times New Roman" w:hAnsi="Times New Roman" w:cs="Times New Roman"/>
          <w:b/>
          <w:sz w:val="24"/>
          <w:szCs w:val="24"/>
        </w:rPr>
        <w:t xml:space="preserve">    </w:t>
      </w:r>
      <w:r w:rsidR="00B90592" w:rsidRPr="00B90592">
        <w:rPr>
          <w:rFonts w:ascii="Times New Roman" w:eastAsia="Times New Roman" w:hAnsi="Times New Roman" w:cs="Times New Roman"/>
          <w:b/>
          <w:sz w:val="24"/>
          <w:szCs w:val="24"/>
        </w:rPr>
        <w:t xml:space="preserve">      </w:t>
      </w:r>
      <w:r w:rsidRPr="00B90592">
        <w:rPr>
          <w:rFonts w:ascii="Times New Roman" w:eastAsia="Times New Roman" w:hAnsi="Times New Roman" w:cs="Times New Roman"/>
          <w:b/>
          <w:sz w:val="24"/>
          <w:szCs w:val="24"/>
        </w:rPr>
        <w:t xml:space="preserve">  </w:t>
      </w:r>
      <w:r w:rsidRPr="00B90592">
        <w:rPr>
          <w:rFonts w:ascii="Times New Roman" w:hAnsi="Times New Roman" w:cs="Times New Roman"/>
          <w:noProof/>
          <w:sz w:val="24"/>
          <w:szCs w:val="24"/>
        </w:rPr>
        <w:drawing>
          <wp:inline distT="0" distB="0" distL="0" distR="0" wp14:anchorId="39160248" wp14:editId="1C62669D">
            <wp:extent cx="457200" cy="457200"/>
            <wp:effectExtent l="0" t="0" r="0" b="0"/>
            <wp:docPr id="13" name="Picture 13" descr="http://www.nsf.gov/images/logos/ns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sf.gov/images/logos/nsf4.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B90592" w:rsidRPr="00B90592">
        <w:rPr>
          <w:rFonts w:ascii="Times New Roman" w:eastAsia="Times New Roman" w:hAnsi="Times New Roman" w:cs="Times New Roman"/>
          <w:b/>
          <w:sz w:val="24"/>
          <w:szCs w:val="24"/>
        </w:rPr>
        <w:t xml:space="preserve">            </w:t>
      </w:r>
      <w:r w:rsidR="00B90592" w:rsidRPr="00B90592">
        <w:rPr>
          <w:rFonts w:ascii="Times New Roman" w:hAnsi="Times New Roman" w:cs="Times New Roman"/>
          <w:noProof/>
          <w:sz w:val="24"/>
          <w:szCs w:val="24"/>
        </w:rPr>
        <w:drawing>
          <wp:inline distT="0" distB="0" distL="0" distR="0" wp14:anchorId="06076271" wp14:editId="64582E83">
            <wp:extent cx="1865376" cy="457200"/>
            <wp:effectExtent l="0" t="0" r="1905" b="0"/>
            <wp:docPr id="14" name="Picture 14" descr="C:\Users\cmoreil\AppData\Local\Temp\ISU seal CeMast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moreil\AppData\Local\Temp\ISU seal CeMast_logo 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5376" cy="457200"/>
                    </a:xfrm>
                    <a:prstGeom prst="rect">
                      <a:avLst/>
                    </a:prstGeom>
                    <a:noFill/>
                    <a:ln>
                      <a:noFill/>
                    </a:ln>
                  </pic:spPr>
                </pic:pic>
              </a:graphicData>
            </a:graphic>
          </wp:inline>
        </w:drawing>
      </w:r>
    </w:p>
    <w:p w14:paraId="33E2107A" w14:textId="77777777" w:rsidR="0087063D" w:rsidRPr="00B90592" w:rsidRDefault="0087063D" w:rsidP="00B90592">
      <w:pPr>
        <w:spacing w:line="240" w:lineRule="auto"/>
        <w:jc w:val="center"/>
        <w:rPr>
          <w:rFonts w:ascii="Times New Roman" w:eastAsia="Times New Roman" w:hAnsi="Times New Roman" w:cs="Times New Roman"/>
          <w:b/>
          <w:sz w:val="24"/>
          <w:szCs w:val="24"/>
        </w:rPr>
      </w:pPr>
    </w:p>
    <w:p w14:paraId="029EDB3C" w14:textId="77777777" w:rsidR="0087063D" w:rsidRPr="00B90592" w:rsidRDefault="0087063D" w:rsidP="00B90592">
      <w:pPr>
        <w:spacing w:line="240" w:lineRule="auto"/>
        <w:jc w:val="center"/>
        <w:rPr>
          <w:rFonts w:ascii="Times New Roman" w:eastAsia="Times New Roman" w:hAnsi="Times New Roman" w:cs="Times New Roman"/>
          <w:b/>
          <w:sz w:val="24"/>
          <w:szCs w:val="24"/>
        </w:rPr>
      </w:pPr>
    </w:p>
    <w:p w14:paraId="234D4824" w14:textId="77777777" w:rsidR="0087063D" w:rsidRPr="00B90592" w:rsidRDefault="0087063D" w:rsidP="00B90592">
      <w:pPr>
        <w:spacing w:line="240" w:lineRule="auto"/>
        <w:jc w:val="center"/>
        <w:rPr>
          <w:rFonts w:ascii="Times New Roman" w:eastAsia="Times New Roman" w:hAnsi="Times New Roman" w:cs="Times New Roman"/>
          <w:b/>
          <w:sz w:val="24"/>
          <w:szCs w:val="24"/>
        </w:rPr>
      </w:pPr>
    </w:p>
    <w:p w14:paraId="66D56186" w14:textId="77777777" w:rsidR="003D66DA" w:rsidRPr="00B90592" w:rsidRDefault="00B90592" w:rsidP="00B90592">
      <w:pPr>
        <w:spacing w:line="240" w:lineRule="auto"/>
        <w:jc w:val="center"/>
        <w:rPr>
          <w:rFonts w:ascii="Times New Roman" w:hAnsi="Times New Roman" w:cs="Times New Roman"/>
          <w:sz w:val="24"/>
          <w:szCs w:val="24"/>
        </w:rPr>
      </w:pPr>
      <w:proofErr w:type="spellStart"/>
      <w:r w:rsidRPr="00B90592">
        <w:rPr>
          <w:rFonts w:ascii="Times New Roman" w:eastAsia="Times New Roman" w:hAnsi="Times New Roman" w:cs="Times New Roman"/>
          <w:b/>
          <w:sz w:val="24"/>
          <w:szCs w:val="24"/>
        </w:rPr>
        <w:t>Projet</w:t>
      </w:r>
      <w:proofErr w:type="spellEnd"/>
      <w:r w:rsidRPr="00B90592">
        <w:rPr>
          <w:rFonts w:ascii="Times New Roman" w:eastAsia="Times New Roman" w:hAnsi="Times New Roman" w:cs="Times New Roman"/>
          <w:b/>
          <w:sz w:val="24"/>
          <w:szCs w:val="24"/>
        </w:rPr>
        <w:t xml:space="preserve"> EDDIE: NUTRIENT LOADING </w:t>
      </w:r>
    </w:p>
    <w:p w14:paraId="230B375C" w14:textId="77777777" w:rsidR="003D66DA" w:rsidRPr="00B90592" w:rsidRDefault="00845449" w:rsidP="00B90592">
      <w:pPr>
        <w:spacing w:line="240" w:lineRule="auto"/>
        <w:jc w:val="center"/>
        <w:rPr>
          <w:rFonts w:ascii="Times New Roman" w:hAnsi="Times New Roman" w:cs="Times New Roman"/>
          <w:sz w:val="24"/>
          <w:szCs w:val="24"/>
        </w:rPr>
      </w:pPr>
      <w:r w:rsidRPr="00B90592">
        <w:rPr>
          <w:rFonts w:ascii="Times New Roman" w:eastAsia="Times New Roman" w:hAnsi="Times New Roman" w:cs="Times New Roman"/>
          <w:b/>
          <w:sz w:val="24"/>
          <w:szCs w:val="24"/>
        </w:rPr>
        <w:t>Instructor's Handout</w:t>
      </w:r>
    </w:p>
    <w:p w14:paraId="00578A8F" w14:textId="77777777" w:rsidR="00B90592" w:rsidRPr="00B90592" w:rsidRDefault="00B90592" w:rsidP="00B90592">
      <w:pPr>
        <w:widowControl w:val="0"/>
        <w:spacing w:line="240" w:lineRule="auto"/>
        <w:rPr>
          <w:rFonts w:ascii="Times New Roman" w:eastAsia="Times New Roman" w:hAnsi="Times New Roman" w:cs="Times New Roman"/>
          <w:sz w:val="24"/>
          <w:szCs w:val="24"/>
        </w:rPr>
      </w:pPr>
    </w:p>
    <w:p w14:paraId="396B4406" w14:textId="77777777" w:rsidR="00B90592" w:rsidRPr="00B73D01" w:rsidRDefault="00B90592" w:rsidP="00B90592">
      <w:pPr>
        <w:widowControl w:val="0"/>
        <w:spacing w:line="240" w:lineRule="auto"/>
        <w:rPr>
          <w:rFonts w:ascii="Times New Roman" w:eastAsia="Cambria" w:hAnsi="Times New Roman" w:cs="Times New Roman"/>
          <w:sz w:val="20"/>
          <w:szCs w:val="20"/>
        </w:rPr>
      </w:pPr>
      <w:r w:rsidRPr="00B73D01">
        <w:rPr>
          <w:rFonts w:ascii="Times New Roman" w:eastAsia="Times New Roman" w:hAnsi="Times New Roman" w:cs="Times New Roman"/>
          <w:sz w:val="20"/>
          <w:szCs w:val="20"/>
        </w:rPr>
        <w:t xml:space="preserve">This module was initially developed by </w:t>
      </w:r>
      <w:proofErr w:type="spellStart"/>
      <w:r w:rsidRPr="00B73D01">
        <w:rPr>
          <w:rFonts w:ascii="Times New Roman" w:eastAsia="Times New Roman" w:hAnsi="Times New Roman" w:cs="Times New Roman"/>
          <w:sz w:val="20"/>
          <w:szCs w:val="20"/>
        </w:rPr>
        <w:t>Castendyk</w:t>
      </w:r>
      <w:proofErr w:type="spellEnd"/>
      <w:r w:rsidRPr="00B73D01">
        <w:rPr>
          <w:rFonts w:ascii="Times New Roman" w:eastAsia="Times New Roman" w:hAnsi="Times New Roman" w:cs="Times New Roman"/>
          <w:sz w:val="20"/>
          <w:szCs w:val="20"/>
        </w:rPr>
        <w:t xml:space="preserve">, D.N., T. </w:t>
      </w:r>
      <w:proofErr w:type="spellStart"/>
      <w:r w:rsidRPr="00B73D01">
        <w:rPr>
          <w:rFonts w:ascii="Times New Roman" w:eastAsia="Times New Roman" w:hAnsi="Times New Roman" w:cs="Times New Roman"/>
          <w:sz w:val="20"/>
          <w:szCs w:val="20"/>
        </w:rPr>
        <w:t>Meixner</w:t>
      </w:r>
      <w:proofErr w:type="spellEnd"/>
      <w:r w:rsidRPr="00B73D01">
        <w:rPr>
          <w:rFonts w:ascii="Times New Roman" w:eastAsia="Times New Roman" w:hAnsi="Times New Roman" w:cs="Times New Roman"/>
          <w:sz w:val="20"/>
          <w:szCs w:val="20"/>
        </w:rPr>
        <w:t xml:space="preserve">, and C.A. Gibson. 6 June 2015. Project EDDIE: Nutrient Loading. Project EDDIE Module 7, Version 1. </w:t>
      </w:r>
      <w:hyperlink r:id="rId12" w:history="1">
        <w:r w:rsidRPr="00B73D01">
          <w:rPr>
            <w:rStyle w:val="Hyperlink"/>
            <w:rFonts w:ascii="Times New Roman" w:eastAsia="Times New Roman" w:hAnsi="Times New Roman" w:cs="Times New Roman"/>
            <w:sz w:val="20"/>
            <w:szCs w:val="20"/>
          </w:rPr>
          <w:t>http://cemast.illinoisstate.edu/data-for-students/modules/nutreint-loading.shtml</w:t>
        </w:r>
      </w:hyperlink>
      <w:r w:rsidRPr="00B73D01">
        <w:rPr>
          <w:rFonts w:ascii="Times New Roman" w:eastAsia="Times New Roman" w:hAnsi="Times New Roman" w:cs="Times New Roman"/>
          <w:sz w:val="20"/>
          <w:szCs w:val="20"/>
        </w:rPr>
        <w:t>. Module development was supported by NSF DEB 1245707.</w:t>
      </w:r>
    </w:p>
    <w:p w14:paraId="631D7D3C" w14:textId="77777777" w:rsidR="00B90592" w:rsidRPr="00B90592" w:rsidRDefault="00B90592" w:rsidP="00B90592">
      <w:pPr>
        <w:spacing w:line="240" w:lineRule="auto"/>
        <w:rPr>
          <w:rFonts w:ascii="Times New Roman" w:hAnsi="Times New Roman" w:cs="Times New Roman"/>
          <w:sz w:val="24"/>
          <w:szCs w:val="24"/>
        </w:rPr>
      </w:pPr>
    </w:p>
    <w:p w14:paraId="083C3181" w14:textId="77777777" w:rsidR="00B73D01" w:rsidRDefault="00B73D01" w:rsidP="00B90592">
      <w:pPr>
        <w:spacing w:line="240" w:lineRule="auto"/>
        <w:rPr>
          <w:rFonts w:ascii="Times New Roman" w:eastAsia="Times New Roman" w:hAnsi="Times New Roman" w:cs="Times New Roman"/>
          <w:b/>
          <w:sz w:val="24"/>
          <w:szCs w:val="24"/>
        </w:rPr>
      </w:pPr>
    </w:p>
    <w:p w14:paraId="7D5A53F7" w14:textId="77777777" w:rsidR="00B90592" w:rsidRPr="00B90592" w:rsidRDefault="00B90592" w:rsidP="00B90592">
      <w:pPr>
        <w:spacing w:line="240" w:lineRule="auto"/>
        <w:rPr>
          <w:rFonts w:ascii="Times New Roman" w:eastAsia="Times New Roman" w:hAnsi="Times New Roman" w:cs="Times New Roman"/>
          <w:b/>
          <w:sz w:val="24"/>
          <w:szCs w:val="24"/>
        </w:rPr>
      </w:pPr>
      <w:r w:rsidRPr="00B90592">
        <w:rPr>
          <w:rFonts w:ascii="Times New Roman" w:eastAsia="Times New Roman" w:hAnsi="Times New Roman" w:cs="Times New Roman"/>
          <w:b/>
          <w:sz w:val="24"/>
          <w:szCs w:val="24"/>
        </w:rPr>
        <w:t>Overall description</w:t>
      </w:r>
    </w:p>
    <w:p w14:paraId="76A7237B" w14:textId="2E1E1371" w:rsidR="004719E2" w:rsidRPr="004719E2" w:rsidRDefault="00C86EC5" w:rsidP="004719E2">
      <w:pPr>
        <w:spacing w:line="240" w:lineRule="auto"/>
        <w:contextualSpacing/>
        <w:rPr>
          <w:rFonts w:ascii="Times New Roman" w:eastAsia="Times New Roman" w:hAnsi="Times New Roman" w:cs="Times New Roman"/>
          <w:sz w:val="24"/>
          <w:szCs w:val="24"/>
        </w:rPr>
      </w:pPr>
      <w:r w:rsidRPr="00B90592">
        <w:rPr>
          <w:rFonts w:ascii="Times New Roman" w:eastAsia="Times New Roman" w:hAnsi="Times New Roman" w:cs="Times New Roman"/>
          <w:sz w:val="24"/>
          <w:szCs w:val="24"/>
        </w:rPr>
        <w:t xml:space="preserve">The assignment will take students from a general understanding of why loads are important, to a qualitative understanding of the connection of discharge to nitrate concentrations, to focused correlation analyses of the connection between discharge and nitrate concentrations, to estimating nutrient loads at a site and along a river network, and finally to develop an understanding of the influence of sampling frequency on robustness of load estimates. </w:t>
      </w:r>
      <w:r w:rsidR="004719E2">
        <w:rPr>
          <w:rFonts w:ascii="Times New Roman" w:eastAsia="Times New Roman" w:hAnsi="Times New Roman" w:cs="Times New Roman"/>
          <w:sz w:val="24"/>
          <w:szCs w:val="24"/>
        </w:rPr>
        <w:t>The module is designed to address the following concepts: the nitrogen c</w:t>
      </w:r>
      <w:r w:rsidR="004719E2" w:rsidRPr="00B90592">
        <w:rPr>
          <w:rFonts w:ascii="Times New Roman" w:eastAsia="Times New Roman" w:hAnsi="Times New Roman" w:cs="Times New Roman"/>
          <w:sz w:val="24"/>
          <w:szCs w:val="24"/>
        </w:rPr>
        <w:t>ycle</w:t>
      </w:r>
      <w:r w:rsidR="004719E2">
        <w:rPr>
          <w:rFonts w:ascii="Times New Roman" w:eastAsia="Times New Roman" w:hAnsi="Times New Roman" w:cs="Times New Roman"/>
          <w:sz w:val="24"/>
          <w:szCs w:val="24"/>
        </w:rPr>
        <w:t>, the i</w:t>
      </w:r>
      <w:r w:rsidR="004719E2" w:rsidRPr="004719E2">
        <w:rPr>
          <w:rFonts w:ascii="Times New Roman" w:eastAsia="Times New Roman" w:hAnsi="Times New Roman" w:cs="Times New Roman"/>
          <w:sz w:val="24"/>
          <w:szCs w:val="24"/>
        </w:rPr>
        <w:t>mpact of nutrients on downstream lake h</w:t>
      </w:r>
      <w:r w:rsidR="004719E2">
        <w:rPr>
          <w:rFonts w:ascii="Times New Roman" w:eastAsia="Times New Roman" w:hAnsi="Times New Roman" w:cs="Times New Roman"/>
          <w:sz w:val="24"/>
          <w:szCs w:val="24"/>
        </w:rPr>
        <w:t xml:space="preserve">ealth, and coastal “dead zones”, and the </w:t>
      </w:r>
      <w:r w:rsidR="004719E2" w:rsidRPr="004719E2">
        <w:rPr>
          <w:rFonts w:ascii="Times New Roman" w:eastAsia="Times New Roman" w:hAnsi="Times New Roman" w:cs="Times New Roman"/>
          <w:sz w:val="24"/>
          <w:szCs w:val="24"/>
        </w:rPr>
        <w:t xml:space="preserve">Clean Water Act and federal management of water quality in the United States  </w:t>
      </w:r>
    </w:p>
    <w:p w14:paraId="08B1AB1A" w14:textId="77777777" w:rsidR="00C86EC5" w:rsidRDefault="00C86EC5" w:rsidP="00B90592">
      <w:pPr>
        <w:spacing w:line="240" w:lineRule="auto"/>
        <w:rPr>
          <w:rFonts w:ascii="Times New Roman" w:eastAsia="Times New Roman" w:hAnsi="Times New Roman" w:cs="Times New Roman"/>
          <w:b/>
          <w:sz w:val="24"/>
          <w:szCs w:val="24"/>
        </w:rPr>
      </w:pPr>
    </w:p>
    <w:p w14:paraId="22FDB620" w14:textId="77777777" w:rsidR="00C86EC5" w:rsidRPr="00B90592" w:rsidRDefault="00C86EC5" w:rsidP="00B90592">
      <w:pPr>
        <w:spacing w:line="240" w:lineRule="auto"/>
        <w:rPr>
          <w:rFonts w:ascii="Times New Roman" w:eastAsia="Times New Roman" w:hAnsi="Times New Roman" w:cs="Times New Roman"/>
          <w:b/>
          <w:sz w:val="24"/>
          <w:szCs w:val="24"/>
        </w:rPr>
      </w:pPr>
    </w:p>
    <w:p w14:paraId="7A40AD82" w14:textId="77777777" w:rsidR="00B90592" w:rsidRPr="00B90592" w:rsidRDefault="00B90592" w:rsidP="00B90592">
      <w:pPr>
        <w:spacing w:line="240" w:lineRule="auto"/>
        <w:rPr>
          <w:rFonts w:ascii="Times New Roman" w:eastAsia="Times New Roman" w:hAnsi="Times New Roman" w:cs="Times New Roman"/>
          <w:b/>
          <w:sz w:val="24"/>
          <w:szCs w:val="24"/>
        </w:rPr>
      </w:pPr>
      <w:r w:rsidRPr="00B90592">
        <w:rPr>
          <w:rFonts w:ascii="Times New Roman" w:eastAsia="Times New Roman" w:hAnsi="Times New Roman" w:cs="Times New Roman"/>
          <w:b/>
          <w:sz w:val="24"/>
          <w:szCs w:val="24"/>
        </w:rPr>
        <w:t>Pedagogical connections:</w:t>
      </w:r>
    </w:p>
    <w:tbl>
      <w:tblPr>
        <w:tblStyle w:val="TableGrid"/>
        <w:tblW w:w="0" w:type="auto"/>
        <w:tblLook w:val="04A0" w:firstRow="1" w:lastRow="0" w:firstColumn="1" w:lastColumn="0" w:noHBand="0" w:noVBand="1"/>
      </w:tblPr>
      <w:tblGrid>
        <w:gridCol w:w="1908"/>
        <w:gridCol w:w="3870"/>
        <w:gridCol w:w="3798"/>
      </w:tblGrid>
      <w:tr w:rsidR="00B90592" w:rsidRPr="00B90592" w14:paraId="2868AEA0" w14:textId="77777777" w:rsidTr="002570B3">
        <w:tc>
          <w:tcPr>
            <w:tcW w:w="1908" w:type="dxa"/>
          </w:tcPr>
          <w:p w14:paraId="1E4D43CC" w14:textId="77777777" w:rsidR="00B90592" w:rsidRPr="00B90592" w:rsidRDefault="00B90592" w:rsidP="00B90592">
            <w:pPr>
              <w:rPr>
                <w:rFonts w:ascii="Times New Roman" w:hAnsi="Times New Roman" w:cs="Times New Roman"/>
                <w:b/>
              </w:rPr>
            </w:pPr>
            <w:r w:rsidRPr="00B90592">
              <w:rPr>
                <w:rFonts w:ascii="Times New Roman" w:hAnsi="Times New Roman" w:cs="Times New Roman"/>
                <w:b/>
              </w:rPr>
              <w:t>Phase</w:t>
            </w:r>
          </w:p>
        </w:tc>
        <w:tc>
          <w:tcPr>
            <w:tcW w:w="3870" w:type="dxa"/>
          </w:tcPr>
          <w:p w14:paraId="152EAE6C" w14:textId="77777777" w:rsidR="00B90592" w:rsidRPr="00B90592" w:rsidRDefault="00B90592" w:rsidP="00B90592">
            <w:pPr>
              <w:rPr>
                <w:rFonts w:ascii="Times New Roman" w:hAnsi="Times New Roman" w:cs="Times New Roman"/>
                <w:b/>
              </w:rPr>
            </w:pPr>
            <w:r w:rsidRPr="00B90592">
              <w:rPr>
                <w:rFonts w:ascii="Times New Roman" w:hAnsi="Times New Roman" w:cs="Times New Roman"/>
                <w:b/>
              </w:rPr>
              <w:t>Functions</w:t>
            </w:r>
          </w:p>
        </w:tc>
        <w:tc>
          <w:tcPr>
            <w:tcW w:w="3798" w:type="dxa"/>
          </w:tcPr>
          <w:p w14:paraId="3AE61963" w14:textId="77777777" w:rsidR="00B90592" w:rsidRPr="00B90592" w:rsidRDefault="00B90592" w:rsidP="00B90592">
            <w:pPr>
              <w:rPr>
                <w:rFonts w:ascii="Times New Roman" w:hAnsi="Times New Roman" w:cs="Times New Roman"/>
                <w:b/>
              </w:rPr>
            </w:pPr>
            <w:r w:rsidRPr="00B90592">
              <w:rPr>
                <w:rFonts w:ascii="Times New Roman" w:hAnsi="Times New Roman" w:cs="Times New Roman"/>
                <w:b/>
              </w:rPr>
              <w:t>Examples from this module</w:t>
            </w:r>
          </w:p>
        </w:tc>
      </w:tr>
      <w:tr w:rsidR="00B90592" w:rsidRPr="00B90592" w14:paraId="6BD2D7A7" w14:textId="77777777" w:rsidTr="002570B3">
        <w:tc>
          <w:tcPr>
            <w:tcW w:w="1908" w:type="dxa"/>
          </w:tcPr>
          <w:p w14:paraId="53000ACA" w14:textId="77777777" w:rsidR="00B90592" w:rsidRPr="00B90592" w:rsidRDefault="00B90592" w:rsidP="00B90592">
            <w:pPr>
              <w:rPr>
                <w:rFonts w:ascii="Times New Roman" w:hAnsi="Times New Roman" w:cs="Times New Roman"/>
              </w:rPr>
            </w:pPr>
            <w:r w:rsidRPr="00B90592">
              <w:rPr>
                <w:rFonts w:ascii="Times New Roman" w:hAnsi="Times New Roman" w:cs="Times New Roman"/>
              </w:rPr>
              <w:t>Engagement</w:t>
            </w:r>
          </w:p>
        </w:tc>
        <w:tc>
          <w:tcPr>
            <w:tcW w:w="3870" w:type="dxa"/>
          </w:tcPr>
          <w:p w14:paraId="43AAB8FB" w14:textId="6ADF0188" w:rsidR="00B90592" w:rsidRPr="005534D7" w:rsidRDefault="00B90592" w:rsidP="004E4976">
            <w:pPr>
              <w:rPr>
                <w:rFonts w:ascii="Times New Roman" w:hAnsi="Times New Roman" w:cs="Times New Roman"/>
              </w:rPr>
            </w:pPr>
            <w:r w:rsidRPr="005534D7">
              <w:rPr>
                <w:rFonts w:ascii="Times New Roman" w:hAnsi="Times New Roman" w:cs="Times New Roman"/>
              </w:rPr>
              <w:t xml:space="preserve">Introduce topic, gauge students’ preconceptions, </w:t>
            </w:r>
          </w:p>
        </w:tc>
        <w:tc>
          <w:tcPr>
            <w:tcW w:w="3798" w:type="dxa"/>
          </w:tcPr>
          <w:p w14:paraId="0787479C" w14:textId="165F7CE8" w:rsidR="00B90592" w:rsidRPr="005534D7" w:rsidRDefault="00B90592" w:rsidP="004E4976">
            <w:pPr>
              <w:rPr>
                <w:rFonts w:ascii="Times New Roman" w:hAnsi="Times New Roman" w:cs="Times New Roman"/>
              </w:rPr>
            </w:pPr>
            <w:r w:rsidRPr="005534D7">
              <w:rPr>
                <w:rFonts w:ascii="Times New Roman" w:hAnsi="Times New Roman" w:cs="Times New Roman"/>
              </w:rPr>
              <w:t>Pre-class readings, reflection questions, short introductory lecture, in-class discussions of readings</w:t>
            </w:r>
            <w:r w:rsidR="004E4976" w:rsidRPr="005534D7">
              <w:rPr>
                <w:rFonts w:ascii="Times New Roman" w:eastAsia="Times New Roman" w:hAnsi="Times New Roman" w:cs="Times New Roman"/>
              </w:rPr>
              <w:t xml:space="preserve"> </w:t>
            </w:r>
          </w:p>
        </w:tc>
      </w:tr>
      <w:tr w:rsidR="00B90592" w:rsidRPr="00B90592" w14:paraId="4CBD799A" w14:textId="77777777" w:rsidTr="002570B3">
        <w:tc>
          <w:tcPr>
            <w:tcW w:w="1908" w:type="dxa"/>
          </w:tcPr>
          <w:p w14:paraId="12A8136A" w14:textId="77777777" w:rsidR="00B90592" w:rsidRPr="00B90592" w:rsidRDefault="00B90592" w:rsidP="00B90592">
            <w:pPr>
              <w:rPr>
                <w:rFonts w:ascii="Times New Roman" w:hAnsi="Times New Roman" w:cs="Times New Roman"/>
              </w:rPr>
            </w:pPr>
            <w:r w:rsidRPr="00B90592">
              <w:rPr>
                <w:rFonts w:ascii="Times New Roman" w:hAnsi="Times New Roman" w:cs="Times New Roman"/>
              </w:rPr>
              <w:t>Exploration</w:t>
            </w:r>
          </w:p>
        </w:tc>
        <w:tc>
          <w:tcPr>
            <w:tcW w:w="3870" w:type="dxa"/>
          </w:tcPr>
          <w:p w14:paraId="54FD72CB" w14:textId="6E35CF13" w:rsidR="00B90592" w:rsidRPr="005534D7" w:rsidRDefault="00B90592" w:rsidP="004E4976">
            <w:pPr>
              <w:rPr>
                <w:rFonts w:ascii="Times New Roman" w:hAnsi="Times New Roman" w:cs="Times New Roman"/>
              </w:rPr>
            </w:pPr>
            <w:r w:rsidRPr="005534D7">
              <w:rPr>
                <w:rFonts w:ascii="Times New Roman" w:hAnsi="Times New Roman" w:cs="Times New Roman"/>
              </w:rPr>
              <w:t xml:space="preserve">Engage students in </w:t>
            </w:r>
            <w:r w:rsidR="004E4976" w:rsidRPr="005534D7">
              <w:rPr>
                <w:rFonts w:ascii="Times New Roman" w:hAnsi="Times New Roman" w:cs="Times New Roman"/>
              </w:rPr>
              <w:t>inquiry</w:t>
            </w:r>
          </w:p>
        </w:tc>
        <w:tc>
          <w:tcPr>
            <w:tcW w:w="3798" w:type="dxa"/>
          </w:tcPr>
          <w:p w14:paraId="1A29B2CF" w14:textId="68479656" w:rsidR="00B90592" w:rsidRPr="005534D7" w:rsidRDefault="004E4976" w:rsidP="00B90592">
            <w:pPr>
              <w:rPr>
                <w:rFonts w:ascii="Times New Roman" w:hAnsi="Times New Roman" w:cs="Times New Roman"/>
              </w:rPr>
            </w:pPr>
            <w:r w:rsidRPr="005534D7">
              <w:rPr>
                <w:rFonts w:ascii="Times New Roman" w:eastAsia="Times New Roman" w:hAnsi="Times New Roman" w:cs="Times New Roman"/>
              </w:rPr>
              <w:t>exploring EPA Impaired Waters list and animated maps of nitrate concentration,</w:t>
            </w:r>
          </w:p>
        </w:tc>
      </w:tr>
      <w:tr w:rsidR="00B90592" w:rsidRPr="00B90592" w14:paraId="4A06E7D9" w14:textId="77777777" w:rsidTr="002570B3">
        <w:tc>
          <w:tcPr>
            <w:tcW w:w="1908" w:type="dxa"/>
          </w:tcPr>
          <w:p w14:paraId="1BEEF0F3" w14:textId="77777777" w:rsidR="00B90592" w:rsidRPr="00B90592" w:rsidRDefault="00B90592" w:rsidP="00B90592">
            <w:pPr>
              <w:rPr>
                <w:rFonts w:ascii="Times New Roman" w:hAnsi="Times New Roman" w:cs="Times New Roman"/>
              </w:rPr>
            </w:pPr>
            <w:r w:rsidRPr="00B90592">
              <w:rPr>
                <w:rFonts w:ascii="Times New Roman" w:hAnsi="Times New Roman" w:cs="Times New Roman"/>
              </w:rPr>
              <w:t>Explanation</w:t>
            </w:r>
          </w:p>
        </w:tc>
        <w:tc>
          <w:tcPr>
            <w:tcW w:w="3870" w:type="dxa"/>
          </w:tcPr>
          <w:p w14:paraId="389E5240" w14:textId="77777777" w:rsidR="00B90592" w:rsidRPr="005534D7" w:rsidRDefault="00B90592" w:rsidP="00B90592">
            <w:pPr>
              <w:rPr>
                <w:rFonts w:ascii="Times New Roman" w:hAnsi="Times New Roman" w:cs="Times New Roman"/>
              </w:rPr>
            </w:pPr>
            <w:r w:rsidRPr="005534D7">
              <w:rPr>
                <w:rFonts w:ascii="Times New Roman" w:hAnsi="Times New Roman" w:cs="Times New Roman"/>
              </w:rPr>
              <w:t>Engage students in scientific discourse, evidence-based reasoning</w:t>
            </w:r>
          </w:p>
        </w:tc>
        <w:tc>
          <w:tcPr>
            <w:tcW w:w="3798" w:type="dxa"/>
          </w:tcPr>
          <w:p w14:paraId="2CC62F07" w14:textId="198CE6EF" w:rsidR="00B90592" w:rsidRPr="005534D7" w:rsidRDefault="00B90592" w:rsidP="005534D7">
            <w:pPr>
              <w:rPr>
                <w:rFonts w:ascii="Times New Roman" w:hAnsi="Times New Roman" w:cs="Times New Roman"/>
              </w:rPr>
            </w:pPr>
            <w:r w:rsidRPr="005534D7">
              <w:rPr>
                <w:rFonts w:ascii="Times New Roman" w:hAnsi="Times New Roman" w:cs="Times New Roman"/>
              </w:rPr>
              <w:t xml:space="preserve">In-class discussion, </w:t>
            </w:r>
            <w:r w:rsidR="005534D7" w:rsidRPr="005534D7">
              <w:rPr>
                <w:rFonts w:ascii="Times New Roman" w:hAnsi="Times New Roman" w:cs="Times New Roman"/>
              </w:rPr>
              <w:t>module activities</w:t>
            </w:r>
          </w:p>
        </w:tc>
      </w:tr>
      <w:tr w:rsidR="00B90592" w:rsidRPr="00B90592" w14:paraId="5C97795C" w14:textId="77777777" w:rsidTr="002570B3">
        <w:tc>
          <w:tcPr>
            <w:tcW w:w="1908" w:type="dxa"/>
          </w:tcPr>
          <w:p w14:paraId="05F9548A" w14:textId="77777777" w:rsidR="00B90592" w:rsidRPr="00B90592" w:rsidRDefault="00B90592" w:rsidP="00B90592">
            <w:pPr>
              <w:rPr>
                <w:rFonts w:ascii="Times New Roman" w:hAnsi="Times New Roman" w:cs="Times New Roman"/>
              </w:rPr>
            </w:pPr>
            <w:r w:rsidRPr="00B90592">
              <w:rPr>
                <w:rFonts w:ascii="Times New Roman" w:hAnsi="Times New Roman" w:cs="Times New Roman"/>
              </w:rPr>
              <w:t>Expansion</w:t>
            </w:r>
          </w:p>
        </w:tc>
        <w:tc>
          <w:tcPr>
            <w:tcW w:w="3870" w:type="dxa"/>
          </w:tcPr>
          <w:p w14:paraId="492CEA67" w14:textId="11B8A29E" w:rsidR="00B90592" w:rsidRPr="005534D7" w:rsidRDefault="005534D7" w:rsidP="006A0123">
            <w:pPr>
              <w:rPr>
                <w:rFonts w:ascii="Times New Roman" w:hAnsi="Times New Roman" w:cs="Times New Roman"/>
              </w:rPr>
            </w:pPr>
            <w:r w:rsidRPr="005534D7">
              <w:rPr>
                <w:rFonts w:ascii="Times New Roman" w:hAnsi="Times New Roman" w:cs="Times New Roman"/>
              </w:rPr>
              <w:t xml:space="preserve">Broaden </w:t>
            </w:r>
            <w:proofErr w:type="gramStart"/>
            <w:r w:rsidRPr="005534D7">
              <w:rPr>
                <w:rFonts w:ascii="Times New Roman" w:hAnsi="Times New Roman" w:cs="Times New Roman"/>
              </w:rPr>
              <w:t>students</w:t>
            </w:r>
            <w:proofErr w:type="gramEnd"/>
            <w:r w:rsidRPr="005534D7">
              <w:rPr>
                <w:rFonts w:ascii="Times New Roman" w:hAnsi="Times New Roman" w:cs="Times New Roman"/>
              </w:rPr>
              <w:t xml:space="preserve"> exploration and sch</w:t>
            </w:r>
            <w:r>
              <w:rPr>
                <w:rFonts w:ascii="Times New Roman" w:hAnsi="Times New Roman" w:cs="Times New Roman"/>
              </w:rPr>
              <w:t>e</w:t>
            </w:r>
            <w:r w:rsidRPr="005534D7">
              <w:rPr>
                <w:rFonts w:ascii="Times New Roman" w:hAnsi="Times New Roman" w:cs="Times New Roman"/>
              </w:rPr>
              <w:t>mata</w:t>
            </w:r>
            <w:r w:rsidR="00B90592" w:rsidRPr="005534D7">
              <w:rPr>
                <w:rFonts w:ascii="Times New Roman" w:hAnsi="Times New Roman" w:cs="Times New Roman"/>
              </w:rPr>
              <w:t xml:space="preserve"> to account for more observations</w:t>
            </w:r>
          </w:p>
        </w:tc>
        <w:tc>
          <w:tcPr>
            <w:tcW w:w="3798" w:type="dxa"/>
          </w:tcPr>
          <w:p w14:paraId="5B295B11" w14:textId="74CD360B" w:rsidR="00B90592" w:rsidRPr="005534D7" w:rsidRDefault="00B90592" w:rsidP="005534D7">
            <w:pPr>
              <w:rPr>
                <w:rFonts w:ascii="Times New Roman" w:hAnsi="Times New Roman" w:cs="Times New Roman"/>
              </w:rPr>
            </w:pPr>
            <w:r w:rsidRPr="005534D7">
              <w:rPr>
                <w:rFonts w:ascii="Times New Roman" w:hAnsi="Times New Roman" w:cs="Times New Roman"/>
              </w:rPr>
              <w:t xml:space="preserve">Application questions in the </w:t>
            </w:r>
            <w:r w:rsidR="005534D7" w:rsidRPr="005534D7">
              <w:rPr>
                <w:rFonts w:ascii="Times New Roman" w:hAnsi="Times New Roman" w:cs="Times New Roman"/>
              </w:rPr>
              <w:t>module</w:t>
            </w:r>
          </w:p>
        </w:tc>
      </w:tr>
      <w:tr w:rsidR="00B90592" w:rsidRPr="00B90592" w14:paraId="2B003E5E" w14:textId="77777777" w:rsidTr="005534D7">
        <w:trPr>
          <w:trHeight w:val="503"/>
        </w:trPr>
        <w:tc>
          <w:tcPr>
            <w:tcW w:w="1908" w:type="dxa"/>
          </w:tcPr>
          <w:p w14:paraId="3A17A4A0" w14:textId="77777777" w:rsidR="00B90592" w:rsidRPr="00B90592" w:rsidRDefault="00B90592" w:rsidP="00B90592">
            <w:pPr>
              <w:rPr>
                <w:rFonts w:ascii="Times New Roman" w:hAnsi="Times New Roman" w:cs="Times New Roman"/>
              </w:rPr>
            </w:pPr>
            <w:r w:rsidRPr="00B90592">
              <w:rPr>
                <w:rFonts w:ascii="Times New Roman" w:hAnsi="Times New Roman" w:cs="Times New Roman"/>
              </w:rPr>
              <w:t>Evaluation</w:t>
            </w:r>
          </w:p>
        </w:tc>
        <w:tc>
          <w:tcPr>
            <w:tcW w:w="3870" w:type="dxa"/>
          </w:tcPr>
          <w:p w14:paraId="38135EAC" w14:textId="77777777" w:rsidR="00B90592" w:rsidRPr="005534D7" w:rsidRDefault="00B90592" w:rsidP="00B90592">
            <w:pPr>
              <w:rPr>
                <w:rFonts w:ascii="Times New Roman" w:hAnsi="Times New Roman" w:cs="Times New Roman"/>
              </w:rPr>
            </w:pPr>
            <w:r w:rsidRPr="005534D7">
              <w:rPr>
                <w:rFonts w:ascii="Times New Roman" w:hAnsi="Times New Roman" w:cs="Times New Roman"/>
              </w:rPr>
              <w:t xml:space="preserve">Assess students’ understanding, formatively and </w:t>
            </w:r>
            <w:proofErr w:type="spellStart"/>
            <w:r w:rsidRPr="005534D7">
              <w:rPr>
                <w:rFonts w:ascii="Times New Roman" w:hAnsi="Times New Roman" w:cs="Times New Roman"/>
              </w:rPr>
              <w:t>summatively</w:t>
            </w:r>
            <w:proofErr w:type="spellEnd"/>
          </w:p>
        </w:tc>
        <w:tc>
          <w:tcPr>
            <w:tcW w:w="3798" w:type="dxa"/>
          </w:tcPr>
          <w:p w14:paraId="5A23D070" w14:textId="774AF57D" w:rsidR="00B90592" w:rsidRPr="005534D7" w:rsidRDefault="00B90592" w:rsidP="00B90592">
            <w:pPr>
              <w:rPr>
                <w:rFonts w:ascii="Times New Roman" w:hAnsi="Times New Roman" w:cs="Times New Roman"/>
              </w:rPr>
            </w:pPr>
            <w:r w:rsidRPr="005534D7">
              <w:rPr>
                <w:rFonts w:ascii="Times New Roman" w:hAnsi="Times New Roman" w:cs="Times New Roman"/>
              </w:rPr>
              <w:t>Suggested questions to ask during discussions</w:t>
            </w:r>
            <w:r w:rsidR="005534D7" w:rsidRPr="005534D7">
              <w:rPr>
                <w:rFonts w:ascii="Times New Roman" w:hAnsi="Times New Roman" w:cs="Times New Roman"/>
              </w:rPr>
              <w:t xml:space="preserve"> </w:t>
            </w:r>
            <w:r w:rsidR="005534D7">
              <w:rPr>
                <w:rFonts w:ascii="Times New Roman" w:hAnsi="Times New Roman" w:cs="Times New Roman"/>
              </w:rPr>
              <w:t>(often in italics in the presentation notes).</w:t>
            </w:r>
          </w:p>
        </w:tc>
      </w:tr>
    </w:tbl>
    <w:p w14:paraId="43656248" w14:textId="77777777" w:rsidR="00B90592" w:rsidRPr="00B90592" w:rsidRDefault="00B90592" w:rsidP="00B90592">
      <w:pPr>
        <w:spacing w:line="240" w:lineRule="auto"/>
        <w:rPr>
          <w:rFonts w:ascii="Times New Roman" w:eastAsia="Times New Roman" w:hAnsi="Times New Roman" w:cs="Times New Roman"/>
          <w:b/>
          <w:sz w:val="24"/>
          <w:szCs w:val="24"/>
        </w:rPr>
      </w:pPr>
    </w:p>
    <w:p w14:paraId="23783E99" w14:textId="77777777" w:rsidR="00B90592" w:rsidRPr="004719E2" w:rsidRDefault="00B90592" w:rsidP="00B90592">
      <w:pPr>
        <w:spacing w:line="240" w:lineRule="auto"/>
        <w:rPr>
          <w:rFonts w:ascii="Times New Roman" w:eastAsia="Times New Roman" w:hAnsi="Times New Roman" w:cs="Times New Roman"/>
          <w:sz w:val="24"/>
          <w:szCs w:val="24"/>
          <w:u w:val="single"/>
        </w:rPr>
      </w:pPr>
      <w:r w:rsidRPr="004719E2">
        <w:rPr>
          <w:rFonts w:ascii="Times New Roman" w:eastAsia="Times New Roman" w:hAnsi="Times New Roman" w:cs="Times New Roman"/>
          <w:sz w:val="24"/>
          <w:szCs w:val="24"/>
          <w:u w:val="single"/>
        </w:rPr>
        <w:t>Learning objectives:</w:t>
      </w:r>
    </w:p>
    <w:p w14:paraId="57063046" w14:textId="77777777" w:rsidR="00B90592" w:rsidRPr="00B90592" w:rsidRDefault="00B90592" w:rsidP="00B90592">
      <w:pPr>
        <w:numPr>
          <w:ilvl w:val="0"/>
          <w:numId w:val="2"/>
        </w:numPr>
        <w:spacing w:line="240" w:lineRule="auto"/>
        <w:ind w:hanging="360"/>
        <w:contextualSpacing/>
        <w:rPr>
          <w:rFonts w:ascii="Times New Roman" w:eastAsia="Times New Roman" w:hAnsi="Times New Roman" w:cs="Times New Roman"/>
          <w:sz w:val="24"/>
          <w:szCs w:val="24"/>
        </w:rPr>
      </w:pPr>
      <w:r w:rsidRPr="00B90592">
        <w:rPr>
          <w:rFonts w:ascii="Times New Roman" w:eastAsia="Times New Roman" w:hAnsi="Times New Roman" w:cs="Times New Roman"/>
          <w:sz w:val="24"/>
          <w:szCs w:val="24"/>
        </w:rPr>
        <w:t>Analyze and interpret data to deepen knowledge and increase understanding of hydrogeological concepts and nitrogen cycling in aquatic systems in the context of increased nutrient availability.</w:t>
      </w:r>
    </w:p>
    <w:p w14:paraId="2376CC37" w14:textId="77777777" w:rsidR="00B90592" w:rsidRPr="00B90592" w:rsidRDefault="00B90592" w:rsidP="00B90592">
      <w:pPr>
        <w:numPr>
          <w:ilvl w:val="0"/>
          <w:numId w:val="2"/>
        </w:numPr>
        <w:spacing w:line="240" w:lineRule="auto"/>
        <w:ind w:hanging="360"/>
        <w:contextualSpacing/>
        <w:rPr>
          <w:rFonts w:ascii="Times New Roman" w:eastAsia="Times New Roman" w:hAnsi="Times New Roman" w:cs="Times New Roman"/>
          <w:sz w:val="24"/>
          <w:szCs w:val="24"/>
        </w:rPr>
      </w:pPr>
      <w:r w:rsidRPr="00B90592">
        <w:rPr>
          <w:rFonts w:ascii="Times New Roman" w:eastAsia="Times New Roman" w:hAnsi="Times New Roman" w:cs="Times New Roman"/>
          <w:sz w:val="24"/>
          <w:szCs w:val="24"/>
        </w:rPr>
        <w:lastRenderedPageBreak/>
        <w:t>Explore advantages and disadvantages of different ways to investigate, sample, and quantify nutrients in aquatic systems.</w:t>
      </w:r>
    </w:p>
    <w:p w14:paraId="1F852B34" w14:textId="77777777" w:rsidR="00B90592" w:rsidRPr="00B90592" w:rsidRDefault="00B90592" w:rsidP="00B90592">
      <w:pPr>
        <w:numPr>
          <w:ilvl w:val="0"/>
          <w:numId w:val="2"/>
        </w:numPr>
        <w:spacing w:line="240" w:lineRule="auto"/>
        <w:ind w:hanging="360"/>
        <w:contextualSpacing/>
        <w:rPr>
          <w:rFonts w:ascii="Times New Roman" w:eastAsia="Times New Roman" w:hAnsi="Times New Roman" w:cs="Times New Roman"/>
          <w:sz w:val="24"/>
          <w:szCs w:val="24"/>
        </w:rPr>
      </w:pPr>
      <w:r w:rsidRPr="00B90592">
        <w:rPr>
          <w:rFonts w:ascii="Times New Roman" w:eastAsia="Times New Roman" w:hAnsi="Times New Roman" w:cs="Times New Roman"/>
          <w:sz w:val="24"/>
          <w:szCs w:val="24"/>
        </w:rPr>
        <w:t>Develop skills for critical data analysis, graphing, and statistics.</w:t>
      </w:r>
    </w:p>
    <w:p w14:paraId="52D73FD5" w14:textId="77777777" w:rsidR="00B90592" w:rsidRPr="00B90592" w:rsidRDefault="00B90592" w:rsidP="00B90592">
      <w:pPr>
        <w:spacing w:line="240" w:lineRule="auto"/>
        <w:rPr>
          <w:rFonts w:ascii="Times New Roman" w:eastAsia="Times New Roman" w:hAnsi="Times New Roman" w:cs="Times New Roman"/>
          <w:b/>
          <w:sz w:val="24"/>
          <w:szCs w:val="24"/>
        </w:rPr>
      </w:pPr>
    </w:p>
    <w:p w14:paraId="26B8B555" w14:textId="77777777" w:rsidR="00B90592" w:rsidRPr="004719E2" w:rsidRDefault="00B90592" w:rsidP="00B90592">
      <w:pPr>
        <w:spacing w:line="240" w:lineRule="auto"/>
        <w:rPr>
          <w:rFonts w:ascii="Times New Roman" w:eastAsia="Times New Roman" w:hAnsi="Times New Roman" w:cs="Times New Roman"/>
          <w:sz w:val="24"/>
          <w:szCs w:val="24"/>
          <w:u w:val="single"/>
        </w:rPr>
      </w:pPr>
      <w:r w:rsidRPr="004719E2">
        <w:rPr>
          <w:rFonts w:ascii="Times New Roman" w:eastAsia="Times New Roman" w:hAnsi="Times New Roman" w:cs="Times New Roman"/>
          <w:sz w:val="24"/>
          <w:szCs w:val="24"/>
          <w:u w:val="single"/>
        </w:rPr>
        <w:t>How to use this module:</w:t>
      </w:r>
    </w:p>
    <w:p w14:paraId="67D324A8" w14:textId="56AFC1B8" w:rsidR="00CF0B9A" w:rsidRDefault="00CF0B9A" w:rsidP="00CF0B9A">
      <w:pPr>
        <w:spacing w:line="240" w:lineRule="auto"/>
        <w:rPr>
          <w:rFonts w:ascii="Times New Roman" w:eastAsia="Times New Roman" w:hAnsi="Times New Roman" w:cs="Times New Roman"/>
          <w:sz w:val="24"/>
          <w:szCs w:val="24"/>
        </w:rPr>
      </w:pPr>
      <w:r w:rsidRPr="00B90592">
        <w:rPr>
          <w:rFonts w:ascii="Times New Roman" w:eastAsia="Times New Roman" w:hAnsi="Times New Roman" w:cs="Times New Roman"/>
          <w:sz w:val="24"/>
          <w:szCs w:val="24"/>
        </w:rPr>
        <w:t>This module is designed for two</w:t>
      </w:r>
      <w:r w:rsidR="00673376">
        <w:rPr>
          <w:rFonts w:ascii="Times New Roman" w:eastAsia="Times New Roman" w:hAnsi="Times New Roman" w:cs="Times New Roman"/>
          <w:sz w:val="24"/>
          <w:szCs w:val="24"/>
        </w:rPr>
        <w:t xml:space="preserve"> 50-minute lecture periods and </w:t>
      </w:r>
      <w:r w:rsidRPr="00B90592">
        <w:rPr>
          <w:rFonts w:ascii="Times New Roman" w:eastAsia="Times New Roman" w:hAnsi="Times New Roman" w:cs="Times New Roman"/>
          <w:sz w:val="24"/>
          <w:szCs w:val="24"/>
        </w:rPr>
        <w:t>two 1-</w:t>
      </w:r>
      <w:r>
        <w:rPr>
          <w:rFonts w:ascii="Times New Roman" w:eastAsia="Times New Roman" w:hAnsi="Times New Roman" w:cs="Times New Roman"/>
          <w:sz w:val="24"/>
          <w:szCs w:val="24"/>
        </w:rPr>
        <w:t xml:space="preserve">hour-and-50-minute lab period. </w:t>
      </w:r>
      <w:r w:rsidR="004719E2">
        <w:rPr>
          <w:rFonts w:ascii="Times New Roman" w:eastAsia="Times New Roman" w:hAnsi="Times New Roman" w:cs="Times New Roman"/>
          <w:sz w:val="24"/>
          <w:szCs w:val="24"/>
        </w:rPr>
        <w:t>The instructor may complete only some of the activities, or may allocate work for before or after class, depending upon the level of the students, the time available, and the goals of the course.</w:t>
      </w:r>
    </w:p>
    <w:p w14:paraId="1D7B33DF" w14:textId="77777777" w:rsidR="00B73D01" w:rsidRDefault="00B73D01" w:rsidP="00CF0B9A">
      <w:pPr>
        <w:spacing w:line="240" w:lineRule="auto"/>
        <w:rPr>
          <w:rFonts w:ascii="Times New Roman" w:eastAsia="Times New Roman" w:hAnsi="Times New Roman" w:cs="Times New Roman"/>
          <w:sz w:val="24"/>
          <w:szCs w:val="24"/>
        </w:rPr>
      </w:pPr>
    </w:p>
    <w:p w14:paraId="45757BDD" w14:textId="1EDC986A" w:rsidR="00B73D01" w:rsidRPr="00B73D01" w:rsidRDefault="00CF0B9A" w:rsidP="00B73D0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 overview of activities </w:t>
      </w:r>
      <w:r w:rsidR="00673376">
        <w:rPr>
          <w:rFonts w:ascii="Times New Roman" w:eastAsia="Times New Roman" w:hAnsi="Times New Roman" w:cs="Times New Roman"/>
          <w:sz w:val="24"/>
          <w:szCs w:val="24"/>
        </w:rPr>
        <w:t>in this module, with approximate times)</w:t>
      </w:r>
    </w:p>
    <w:p w14:paraId="7B11E2AE" w14:textId="516358B5" w:rsidR="00B73D01" w:rsidRPr="00B73D01" w:rsidRDefault="00B73D01" w:rsidP="00B73D01">
      <w:pPr>
        <w:pStyle w:val="ListParagraph"/>
        <w:numPr>
          <w:ilvl w:val="0"/>
          <w:numId w:val="12"/>
        </w:numPr>
        <w:spacing w:line="240" w:lineRule="auto"/>
        <w:rPr>
          <w:rFonts w:ascii="Times New Roman" w:hAnsi="Times New Roman" w:cs="Times New Roman"/>
          <w:sz w:val="24"/>
          <w:szCs w:val="24"/>
        </w:rPr>
      </w:pPr>
      <w:r w:rsidRPr="00B73D01">
        <w:rPr>
          <w:rFonts w:ascii="Times New Roman" w:eastAsia="Times New Roman" w:hAnsi="Times New Roman" w:cs="Times New Roman"/>
          <w:i/>
          <w:sz w:val="24"/>
          <w:szCs w:val="24"/>
        </w:rPr>
        <w:t>Activity A</w:t>
      </w:r>
      <w:r w:rsidRPr="00B73D01">
        <w:rPr>
          <w:rFonts w:ascii="Times New Roman" w:eastAsia="Times New Roman" w:hAnsi="Times New Roman" w:cs="Times New Roman"/>
          <w:sz w:val="24"/>
          <w:szCs w:val="24"/>
        </w:rPr>
        <w:t>: (Lecture and background - 1 hour)</w:t>
      </w:r>
      <w:r>
        <w:rPr>
          <w:rFonts w:ascii="Times New Roman" w:eastAsia="Times New Roman" w:hAnsi="Times New Roman" w:cs="Times New Roman"/>
          <w:sz w:val="24"/>
          <w:szCs w:val="24"/>
        </w:rPr>
        <w:t xml:space="preserve"> </w:t>
      </w:r>
      <w:r w:rsidR="005B4CF4">
        <w:rPr>
          <w:rFonts w:ascii="Times New Roman" w:eastAsia="Times New Roman" w:hAnsi="Times New Roman" w:cs="Times New Roman"/>
          <w:sz w:val="24"/>
          <w:szCs w:val="24"/>
        </w:rPr>
        <w:t>B</w:t>
      </w:r>
      <w:r w:rsidRPr="00B73D01">
        <w:rPr>
          <w:rFonts w:ascii="Times New Roman" w:eastAsia="Times New Roman" w:hAnsi="Times New Roman" w:cs="Times New Roman"/>
          <w:sz w:val="24"/>
          <w:szCs w:val="24"/>
        </w:rPr>
        <w:t>ackground of nutrient issues in surface waters</w:t>
      </w:r>
      <w:r w:rsidR="005B4CF4">
        <w:rPr>
          <w:rFonts w:ascii="Times New Roman" w:eastAsia="Times New Roman" w:hAnsi="Times New Roman" w:cs="Times New Roman"/>
          <w:sz w:val="24"/>
          <w:szCs w:val="24"/>
        </w:rPr>
        <w:t xml:space="preserve"> by exploring EPA Impaired Waters list</w:t>
      </w:r>
      <w:r w:rsidR="004719E2">
        <w:rPr>
          <w:rFonts w:ascii="Times New Roman" w:eastAsia="Times New Roman" w:hAnsi="Times New Roman" w:cs="Times New Roman"/>
          <w:sz w:val="24"/>
          <w:szCs w:val="24"/>
        </w:rPr>
        <w:t xml:space="preserve"> and animated maps of nitrate concentration, </w:t>
      </w:r>
      <w:r w:rsidRPr="00B73D01">
        <w:rPr>
          <w:rFonts w:ascii="Times New Roman" w:eastAsia="Times New Roman" w:hAnsi="Times New Roman" w:cs="Times New Roman"/>
          <w:sz w:val="24"/>
          <w:szCs w:val="24"/>
        </w:rPr>
        <w:t>and learn</w:t>
      </w:r>
      <w:r w:rsidR="005B4CF4">
        <w:rPr>
          <w:rFonts w:ascii="Times New Roman" w:eastAsia="Times New Roman" w:hAnsi="Times New Roman" w:cs="Times New Roman"/>
          <w:sz w:val="24"/>
          <w:szCs w:val="24"/>
        </w:rPr>
        <w:t>ing</w:t>
      </w:r>
      <w:r w:rsidRPr="00B73D01">
        <w:rPr>
          <w:rFonts w:ascii="Times New Roman" w:eastAsia="Times New Roman" w:hAnsi="Times New Roman" w:cs="Times New Roman"/>
          <w:sz w:val="24"/>
          <w:szCs w:val="24"/>
        </w:rPr>
        <w:t xml:space="preserve"> about concentration, discharge, </w:t>
      </w:r>
      <w:r>
        <w:rPr>
          <w:rFonts w:ascii="Times New Roman" w:eastAsia="Times New Roman" w:hAnsi="Times New Roman" w:cs="Times New Roman"/>
          <w:sz w:val="24"/>
          <w:szCs w:val="24"/>
        </w:rPr>
        <w:t>t</w:t>
      </w:r>
      <w:r w:rsidRPr="00B73D01">
        <w:rPr>
          <w:rFonts w:ascii="Times New Roman" w:eastAsia="Times New Roman" w:hAnsi="Times New Roman" w:cs="Times New Roman"/>
          <w:sz w:val="24"/>
          <w:szCs w:val="24"/>
        </w:rPr>
        <w:t>heir relationship</w:t>
      </w:r>
      <w:r w:rsidR="004719E2">
        <w:rPr>
          <w:rFonts w:ascii="Times New Roman" w:eastAsia="Times New Roman" w:hAnsi="Times New Roman" w:cs="Times New Roman"/>
          <w:sz w:val="24"/>
          <w:szCs w:val="24"/>
        </w:rPr>
        <w:t>,</w:t>
      </w:r>
      <w:r w:rsidRPr="00B73D01">
        <w:rPr>
          <w:rFonts w:ascii="Times New Roman" w:eastAsia="Times New Roman" w:hAnsi="Times New Roman" w:cs="Times New Roman"/>
          <w:sz w:val="24"/>
          <w:szCs w:val="24"/>
        </w:rPr>
        <w:t xml:space="preserve"> and the calculation of load.  </w:t>
      </w:r>
      <w:r w:rsidR="005B4CF4">
        <w:rPr>
          <w:rFonts w:ascii="Times New Roman" w:eastAsia="Times New Roman" w:hAnsi="Times New Roman" w:cs="Times New Roman"/>
          <w:sz w:val="24"/>
          <w:szCs w:val="24"/>
        </w:rPr>
        <w:t xml:space="preserve"> </w:t>
      </w:r>
    </w:p>
    <w:p w14:paraId="7D859691" w14:textId="0F1DCE14" w:rsidR="00B73D01" w:rsidRPr="00B73D01" w:rsidRDefault="00B73D01" w:rsidP="00B73D01">
      <w:pPr>
        <w:pStyle w:val="ListParagraph"/>
        <w:numPr>
          <w:ilvl w:val="0"/>
          <w:numId w:val="12"/>
        </w:numPr>
        <w:spacing w:line="240" w:lineRule="auto"/>
        <w:rPr>
          <w:rFonts w:ascii="Times New Roman" w:hAnsi="Times New Roman" w:cs="Times New Roman"/>
          <w:sz w:val="24"/>
          <w:szCs w:val="24"/>
        </w:rPr>
      </w:pPr>
      <w:r w:rsidRPr="00B73D01">
        <w:rPr>
          <w:rFonts w:ascii="Times New Roman" w:eastAsia="Times New Roman" w:hAnsi="Times New Roman" w:cs="Times New Roman"/>
          <w:i/>
          <w:sz w:val="24"/>
          <w:szCs w:val="24"/>
        </w:rPr>
        <w:t>Activity B</w:t>
      </w:r>
      <w:r w:rsidRPr="00B73D01">
        <w:rPr>
          <w:rFonts w:ascii="Times New Roman" w:eastAsia="Times New Roman" w:hAnsi="Times New Roman" w:cs="Times New Roman"/>
          <w:sz w:val="24"/>
          <w:szCs w:val="24"/>
        </w:rPr>
        <w:t xml:space="preserve">: </w:t>
      </w:r>
      <w:r w:rsidR="004719E2">
        <w:rPr>
          <w:rFonts w:ascii="Times New Roman" w:eastAsia="Times New Roman" w:hAnsi="Times New Roman" w:cs="Times New Roman"/>
          <w:sz w:val="24"/>
          <w:szCs w:val="24"/>
        </w:rPr>
        <w:t>(Calculations and graphing</w:t>
      </w:r>
      <w:r w:rsidR="005B4CF4">
        <w:rPr>
          <w:rFonts w:ascii="Times New Roman" w:eastAsia="Times New Roman" w:hAnsi="Times New Roman" w:cs="Times New Roman"/>
          <w:sz w:val="24"/>
          <w:szCs w:val="24"/>
        </w:rPr>
        <w:t xml:space="preserve"> </w:t>
      </w:r>
      <w:r w:rsidRPr="00B73D01">
        <w:rPr>
          <w:rFonts w:ascii="Times New Roman" w:eastAsia="Times New Roman" w:hAnsi="Times New Roman" w:cs="Times New Roman"/>
          <w:sz w:val="24"/>
          <w:szCs w:val="24"/>
        </w:rPr>
        <w:t>-1 hour)</w:t>
      </w:r>
      <w:r>
        <w:rPr>
          <w:rFonts w:ascii="Times New Roman" w:eastAsia="Times New Roman" w:hAnsi="Times New Roman" w:cs="Times New Roman"/>
          <w:sz w:val="24"/>
          <w:szCs w:val="24"/>
        </w:rPr>
        <w:t xml:space="preserve"> </w:t>
      </w:r>
      <w:r w:rsidR="005B4CF4">
        <w:rPr>
          <w:rFonts w:ascii="Times New Roman" w:eastAsia="Times New Roman" w:hAnsi="Times New Roman" w:cs="Times New Roman"/>
          <w:sz w:val="24"/>
          <w:szCs w:val="24"/>
        </w:rPr>
        <w:t>A</w:t>
      </w:r>
      <w:r w:rsidRPr="00B73D01">
        <w:rPr>
          <w:rFonts w:ascii="Times New Roman" w:eastAsia="Times New Roman" w:hAnsi="Times New Roman" w:cs="Times New Roman"/>
          <w:sz w:val="24"/>
          <w:szCs w:val="24"/>
        </w:rPr>
        <w:t>ccess</w:t>
      </w:r>
      <w:r w:rsidR="005B4CF4">
        <w:rPr>
          <w:rFonts w:ascii="Times New Roman" w:eastAsia="Times New Roman" w:hAnsi="Times New Roman" w:cs="Times New Roman"/>
          <w:sz w:val="24"/>
          <w:szCs w:val="24"/>
        </w:rPr>
        <w:t>ing</w:t>
      </w:r>
      <w:r w:rsidRPr="00B73D01">
        <w:rPr>
          <w:rFonts w:ascii="Times New Roman" w:eastAsia="Times New Roman" w:hAnsi="Times New Roman" w:cs="Times New Roman"/>
          <w:sz w:val="24"/>
          <w:szCs w:val="24"/>
        </w:rPr>
        <w:t xml:space="preserve"> USGS data sets and </w:t>
      </w:r>
      <w:r w:rsidR="005B4CF4">
        <w:rPr>
          <w:rFonts w:ascii="Times New Roman" w:eastAsia="Times New Roman" w:hAnsi="Times New Roman" w:cs="Times New Roman"/>
          <w:sz w:val="24"/>
          <w:szCs w:val="24"/>
        </w:rPr>
        <w:t>combining</w:t>
      </w:r>
      <w:r w:rsidRPr="00B73D01">
        <w:rPr>
          <w:rFonts w:ascii="Times New Roman" w:eastAsia="Times New Roman" w:hAnsi="Times New Roman" w:cs="Times New Roman"/>
          <w:sz w:val="24"/>
          <w:szCs w:val="24"/>
        </w:rPr>
        <w:t xml:space="preserve"> concentration and discharge data to investigate nutrients loads from agricul</w:t>
      </w:r>
      <w:r w:rsidR="005B4CF4">
        <w:rPr>
          <w:rFonts w:ascii="Times New Roman" w:eastAsia="Times New Roman" w:hAnsi="Times New Roman" w:cs="Times New Roman"/>
          <w:sz w:val="24"/>
          <w:szCs w:val="24"/>
        </w:rPr>
        <w:t xml:space="preserve">tural systems in Iowa, </w:t>
      </w:r>
      <w:r w:rsidRPr="00B73D01">
        <w:rPr>
          <w:rFonts w:ascii="Times New Roman" w:eastAsia="Times New Roman" w:hAnsi="Times New Roman" w:cs="Times New Roman"/>
          <w:sz w:val="24"/>
          <w:szCs w:val="24"/>
        </w:rPr>
        <w:t>graph</w:t>
      </w:r>
      <w:r w:rsidR="005B4CF4">
        <w:rPr>
          <w:rFonts w:ascii="Times New Roman" w:eastAsia="Times New Roman" w:hAnsi="Times New Roman" w:cs="Times New Roman"/>
          <w:sz w:val="24"/>
          <w:szCs w:val="24"/>
        </w:rPr>
        <w:t>ing</w:t>
      </w:r>
      <w:r w:rsidRPr="00B73D01">
        <w:rPr>
          <w:rFonts w:ascii="Times New Roman" w:eastAsia="Times New Roman" w:hAnsi="Times New Roman" w:cs="Times New Roman"/>
          <w:sz w:val="24"/>
          <w:szCs w:val="24"/>
        </w:rPr>
        <w:t xml:space="preserve"> the data as time -series and </w:t>
      </w:r>
      <w:r w:rsidR="005B4CF4">
        <w:rPr>
          <w:rFonts w:ascii="Times New Roman" w:eastAsia="Times New Roman" w:hAnsi="Times New Roman" w:cs="Times New Roman"/>
          <w:sz w:val="24"/>
          <w:szCs w:val="24"/>
        </w:rPr>
        <w:t>scatter plots as well as investigating</w:t>
      </w:r>
      <w:r w:rsidRPr="00B73D01">
        <w:rPr>
          <w:rFonts w:ascii="Times New Roman" w:eastAsia="Times New Roman" w:hAnsi="Times New Roman" w:cs="Times New Roman"/>
          <w:sz w:val="24"/>
          <w:szCs w:val="24"/>
        </w:rPr>
        <w:t xml:space="preserve"> calculations that can be made with these data.</w:t>
      </w:r>
    </w:p>
    <w:p w14:paraId="37474202" w14:textId="57861E85" w:rsidR="00B73D01" w:rsidRPr="00B73D01" w:rsidRDefault="00B73D01" w:rsidP="00B73D01">
      <w:pPr>
        <w:pStyle w:val="ListParagraph"/>
        <w:numPr>
          <w:ilvl w:val="0"/>
          <w:numId w:val="12"/>
        </w:numPr>
        <w:spacing w:line="240" w:lineRule="auto"/>
        <w:rPr>
          <w:rFonts w:ascii="Times New Roman" w:hAnsi="Times New Roman" w:cs="Times New Roman"/>
          <w:sz w:val="24"/>
          <w:szCs w:val="24"/>
        </w:rPr>
      </w:pPr>
      <w:r w:rsidRPr="00B73D01">
        <w:rPr>
          <w:rFonts w:ascii="Times New Roman" w:eastAsia="Times New Roman" w:hAnsi="Times New Roman" w:cs="Times New Roman"/>
          <w:i/>
          <w:sz w:val="24"/>
          <w:szCs w:val="24"/>
        </w:rPr>
        <w:t>Activity C</w:t>
      </w:r>
      <w:r w:rsidRPr="00B73D01">
        <w:rPr>
          <w:rFonts w:ascii="Times New Roman" w:eastAsia="Times New Roman" w:hAnsi="Times New Roman" w:cs="Times New Roman"/>
          <w:sz w:val="24"/>
          <w:szCs w:val="24"/>
        </w:rPr>
        <w:t>:</w:t>
      </w:r>
      <w:r w:rsidR="004719E2">
        <w:rPr>
          <w:rFonts w:ascii="Times New Roman" w:eastAsia="Times New Roman" w:hAnsi="Times New Roman" w:cs="Times New Roman"/>
          <w:sz w:val="24"/>
          <w:szCs w:val="24"/>
        </w:rPr>
        <w:t xml:space="preserve"> (Calculations and g</w:t>
      </w:r>
      <w:r w:rsidR="005B4CF4">
        <w:rPr>
          <w:rFonts w:ascii="Times New Roman" w:eastAsia="Times New Roman" w:hAnsi="Times New Roman" w:cs="Times New Roman"/>
          <w:sz w:val="24"/>
          <w:szCs w:val="24"/>
        </w:rPr>
        <w:t>raphing - 1 hour</w:t>
      </w:r>
      <w:r w:rsidRPr="00B73D0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B4CF4">
        <w:rPr>
          <w:rFonts w:ascii="Times New Roman" w:eastAsia="Times New Roman" w:hAnsi="Times New Roman" w:cs="Times New Roman"/>
          <w:sz w:val="24"/>
          <w:szCs w:val="24"/>
        </w:rPr>
        <w:t>Q</w:t>
      </w:r>
      <w:r w:rsidRPr="00B73D01">
        <w:rPr>
          <w:rFonts w:ascii="Times New Roman" w:eastAsia="Times New Roman" w:hAnsi="Times New Roman" w:cs="Times New Roman"/>
          <w:sz w:val="24"/>
          <w:szCs w:val="24"/>
        </w:rPr>
        <w:t>uantify</w:t>
      </w:r>
      <w:r w:rsidR="005B4CF4">
        <w:rPr>
          <w:rFonts w:ascii="Times New Roman" w:eastAsia="Times New Roman" w:hAnsi="Times New Roman" w:cs="Times New Roman"/>
          <w:sz w:val="24"/>
          <w:szCs w:val="24"/>
        </w:rPr>
        <w:t>ing</w:t>
      </w:r>
      <w:r w:rsidRPr="00B73D01">
        <w:rPr>
          <w:rFonts w:ascii="Times New Roman" w:eastAsia="Times New Roman" w:hAnsi="Times New Roman" w:cs="Times New Roman"/>
          <w:sz w:val="24"/>
          <w:szCs w:val="24"/>
        </w:rPr>
        <w:t xml:space="preserve"> correlations between the two variables at different time scales and in different ways using both graphs and statistical correlations.  </w:t>
      </w:r>
    </w:p>
    <w:p w14:paraId="3F4E455F" w14:textId="26649927" w:rsidR="00B73D01" w:rsidRPr="00B73D01" w:rsidRDefault="00B73D01" w:rsidP="00B73D01">
      <w:pPr>
        <w:pStyle w:val="ListParagraph"/>
        <w:numPr>
          <w:ilvl w:val="0"/>
          <w:numId w:val="12"/>
        </w:numPr>
        <w:spacing w:line="240" w:lineRule="auto"/>
        <w:rPr>
          <w:rFonts w:ascii="Times New Roman" w:hAnsi="Times New Roman" w:cs="Times New Roman"/>
          <w:sz w:val="24"/>
          <w:szCs w:val="24"/>
        </w:rPr>
      </w:pPr>
      <w:r w:rsidRPr="00B73D01">
        <w:rPr>
          <w:rFonts w:ascii="Times New Roman" w:eastAsia="Times New Roman" w:hAnsi="Times New Roman" w:cs="Times New Roman"/>
          <w:i/>
          <w:sz w:val="24"/>
          <w:szCs w:val="24"/>
        </w:rPr>
        <w:t>Activity D</w:t>
      </w:r>
      <w:r w:rsidRPr="00B73D01">
        <w:rPr>
          <w:rFonts w:ascii="Times New Roman" w:eastAsia="Times New Roman" w:hAnsi="Times New Roman" w:cs="Times New Roman"/>
          <w:sz w:val="24"/>
          <w:szCs w:val="24"/>
        </w:rPr>
        <w:t>: (Calculations of load - 1 hour)</w:t>
      </w:r>
      <w:r>
        <w:rPr>
          <w:rFonts w:ascii="Times New Roman" w:eastAsia="Times New Roman" w:hAnsi="Times New Roman" w:cs="Times New Roman"/>
          <w:sz w:val="24"/>
          <w:szCs w:val="24"/>
        </w:rPr>
        <w:t xml:space="preserve"> </w:t>
      </w:r>
      <w:r w:rsidR="005B4CF4">
        <w:rPr>
          <w:rFonts w:ascii="Times New Roman" w:eastAsia="Times New Roman" w:hAnsi="Times New Roman" w:cs="Times New Roman"/>
          <w:sz w:val="24"/>
          <w:szCs w:val="24"/>
        </w:rPr>
        <w:t>Calculating</w:t>
      </w:r>
      <w:r w:rsidRPr="00B73D01">
        <w:rPr>
          <w:rFonts w:ascii="Times New Roman" w:eastAsia="Times New Roman" w:hAnsi="Times New Roman" w:cs="Times New Roman"/>
          <w:sz w:val="24"/>
          <w:szCs w:val="24"/>
        </w:rPr>
        <w:t xml:space="preserve"> loads of nutrients exported from a </w:t>
      </w:r>
      <w:r w:rsidR="005B4CF4">
        <w:rPr>
          <w:rFonts w:ascii="Times New Roman" w:eastAsia="Times New Roman" w:hAnsi="Times New Roman" w:cs="Times New Roman"/>
          <w:sz w:val="24"/>
          <w:szCs w:val="24"/>
        </w:rPr>
        <w:t>catchment and comparing</w:t>
      </w:r>
      <w:r w:rsidRPr="00B73D01">
        <w:rPr>
          <w:rFonts w:ascii="Times New Roman" w:eastAsia="Times New Roman" w:hAnsi="Times New Roman" w:cs="Times New Roman"/>
          <w:sz w:val="24"/>
          <w:szCs w:val="24"/>
        </w:rPr>
        <w:t xml:space="preserve"> an upstream and a downstream catchment to see how concentration and discharge change along with nutrient load with distance downstream.  </w:t>
      </w:r>
    </w:p>
    <w:p w14:paraId="703EA903" w14:textId="737236F1" w:rsidR="00B73D01" w:rsidRPr="00B73D01" w:rsidRDefault="00B73D01" w:rsidP="00B73D01">
      <w:pPr>
        <w:pStyle w:val="ListParagraph"/>
        <w:numPr>
          <w:ilvl w:val="0"/>
          <w:numId w:val="12"/>
        </w:numPr>
        <w:spacing w:line="240" w:lineRule="auto"/>
        <w:rPr>
          <w:rFonts w:ascii="Times New Roman" w:hAnsi="Times New Roman" w:cs="Times New Roman"/>
          <w:sz w:val="24"/>
          <w:szCs w:val="24"/>
        </w:rPr>
      </w:pPr>
      <w:r w:rsidRPr="00B73D01">
        <w:rPr>
          <w:rFonts w:ascii="Times New Roman" w:eastAsia="Times New Roman" w:hAnsi="Times New Roman" w:cs="Times New Roman"/>
          <w:i/>
          <w:sz w:val="24"/>
          <w:szCs w:val="24"/>
        </w:rPr>
        <w:t>Activity E</w:t>
      </w:r>
      <w:r w:rsidRPr="00B73D01">
        <w:rPr>
          <w:rFonts w:ascii="Times New Roman" w:eastAsia="Times New Roman" w:hAnsi="Times New Roman" w:cs="Times New Roman"/>
          <w:sz w:val="24"/>
          <w:szCs w:val="24"/>
        </w:rPr>
        <w:t xml:space="preserve">: </w:t>
      </w:r>
      <w:r w:rsidR="004719E2">
        <w:rPr>
          <w:rFonts w:ascii="Times New Roman" w:eastAsia="Times New Roman" w:hAnsi="Times New Roman" w:cs="Times New Roman"/>
          <w:sz w:val="24"/>
          <w:szCs w:val="24"/>
        </w:rPr>
        <w:t>(Sample f</w:t>
      </w:r>
      <w:r w:rsidRPr="00B73D01">
        <w:rPr>
          <w:rFonts w:ascii="Times New Roman" w:eastAsia="Times New Roman" w:hAnsi="Times New Roman" w:cs="Times New Roman"/>
          <w:sz w:val="24"/>
          <w:szCs w:val="24"/>
        </w:rPr>
        <w:t>requency</w:t>
      </w:r>
      <w:r w:rsidR="005B4CF4">
        <w:rPr>
          <w:rFonts w:ascii="Times New Roman" w:eastAsia="Times New Roman" w:hAnsi="Times New Roman" w:cs="Times New Roman"/>
          <w:sz w:val="24"/>
          <w:szCs w:val="24"/>
        </w:rPr>
        <w:t xml:space="preserve"> </w:t>
      </w:r>
      <w:r w:rsidRPr="00B73D01">
        <w:rPr>
          <w:rFonts w:ascii="Times New Roman" w:eastAsia="Times New Roman" w:hAnsi="Times New Roman" w:cs="Times New Roman"/>
          <w:sz w:val="24"/>
          <w:szCs w:val="24"/>
        </w:rPr>
        <w:t>- 1 hour)</w:t>
      </w:r>
      <w:r>
        <w:rPr>
          <w:rFonts w:ascii="Times New Roman" w:eastAsia="Times New Roman" w:hAnsi="Times New Roman" w:cs="Times New Roman"/>
          <w:sz w:val="24"/>
          <w:szCs w:val="24"/>
        </w:rPr>
        <w:t xml:space="preserve"> </w:t>
      </w:r>
      <w:r w:rsidR="005B4CF4">
        <w:rPr>
          <w:rFonts w:ascii="Times New Roman" w:eastAsia="Times New Roman" w:hAnsi="Times New Roman" w:cs="Times New Roman"/>
          <w:sz w:val="24"/>
          <w:szCs w:val="24"/>
        </w:rPr>
        <w:t>C</w:t>
      </w:r>
      <w:r w:rsidRPr="00B73D01">
        <w:rPr>
          <w:rFonts w:ascii="Times New Roman" w:eastAsia="Times New Roman" w:hAnsi="Times New Roman" w:cs="Times New Roman"/>
          <w:sz w:val="24"/>
          <w:szCs w:val="24"/>
        </w:rPr>
        <w:t xml:space="preserve">alculate loads of nutrients exported from a catchment </w:t>
      </w:r>
      <w:r w:rsidR="005B4CF4">
        <w:rPr>
          <w:rFonts w:ascii="Times New Roman" w:eastAsia="Times New Roman" w:hAnsi="Times New Roman" w:cs="Times New Roman"/>
          <w:sz w:val="24"/>
          <w:szCs w:val="24"/>
        </w:rPr>
        <w:t xml:space="preserve">with varying sample frequency. </w:t>
      </w:r>
      <w:r w:rsidRPr="00B73D01">
        <w:rPr>
          <w:rFonts w:ascii="Times New Roman" w:eastAsia="Times New Roman" w:hAnsi="Times New Roman" w:cs="Times New Roman"/>
          <w:sz w:val="24"/>
          <w:szCs w:val="24"/>
        </w:rPr>
        <w:t>It is rare to have high frequency data like the ones used in th</w:t>
      </w:r>
      <w:r w:rsidR="005B4CF4">
        <w:rPr>
          <w:rFonts w:ascii="Times New Roman" w:eastAsia="Times New Roman" w:hAnsi="Times New Roman" w:cs="Times New Roman"/>
          <w:sz w:val="24"/>
          <w:szCs w:val="24"/>
        </w:rPr>
        <w:t>e earlier parts of this module.</w:t>
      </w:r>
      <w:r w:rsidRPr="00B73D01">
        <w:rPr>
          <w:rFonts w:ascii="Times New Roman" w:eastAsia="Times New Roman" w:hAnsi="Times New Roman" w:cs="Times New Roman"/>
          <w:sz w:val="24"/>
          <w:szCs w:val="24"/>
        </w:rPr>
        <w:t xml:space="preserve"> In this exercise students will work with </w:t>
      </w:r>
      <w:proofErr w:type="spellStart"/>
      <w:r w:rsidRPr="00B73D01">
        <w:rPr>
          <w:rFonts w:ascii="Times New Roman" w:eastAsia="Times New Roman" w:hAnsi="Times New Roman" w:cs="Times New Roman"/>
          <w:sz w:val="24"/>
          <w:szCs w:val="24"/>
        </w:rPr>
        <w:t>desampled</w:t>
      </w:r>
      <w:proofErr w:type="spellEnd"/>
      <w:r w:rsidRPr="00B73D01">
        <w:rPr>
          <w:rFonts w:ascii="Times New Roman" w:eastAsia="Times New Roman" w:hAnsi="Times New Roman" w:cs="Times New Roman"/>
          <w:sz w:val="24"/>
          <w:szCs w:val="24"/>
        </w:rPr>
        <w:t xml:space="preserve"> data to investigate the effects of sample frequency on the calculation of nutrient loads. </w:t>
      </w:r>
    </w:p>
    <w:p w14:paraId="0CEC5BB6" w14:textId="77777777" w:rsidR="00B90592" w:rsidRPr="00B90592" w:rsidRDefault="00B90592" w:rsidP="00B90592">
      <w:pPr>
        <w:spacing w:line="240" w:lineRule="auto"/>
        <w:rPr>
          <w:rFonts w:ascii="Times New Roman" w:eastAsia="Times New Roman" w:hAnsi="Times New Roman" w:cs="Times New Roman"/>
          <w:b/>
          <w:sz w:val="24"/>
          <w:szCs w:val="24"/>
        </w:rPr>
      </w:pPr>
    </w:p>
    <w:p w14:paraId="6287182D" w14:textId="77777777" w:rsidR="00B90592" w:rsidRPr="00870A2A" w:rsidRDefault="00B90592" w:rsidP="00B90592">
      <w:pPr>
        <w:spacing w:line="240" w:lineRule="auto"/>
        <w:rPr>
          <w:rFonts w:ascii="Times New Roman" w:eastAsia="Times New Roman" w:hAnsi="Times New Roman" w:cs="Times New Roman"/>
          <w:sz w:val="24"/>
          <w:szCs w:val="24"/>
          <w:u w:val="single"/>
        </w:rPr>
      </w:pPr>
      <w:r w:rsidRPr="00870A2A">
        <w:rPr>
          <w:rFonts w:ascii="Times New Roman" w:eastAsia="Times New Roman" w:hAnsi="Times New Roman" w:cs="Times New Roman"/>
          <w:sz w:val="24"/>
          <w:szCs w:val="24"/>
          <w:u w:val="single"/>
        </w:rPr>
        <w:t>Workflow of this module:</w:t>
      </w:r>
    </w:p>
    <w:p w14:paraId="602ADD2E" w14:textId="01CBD446" w:rsidR="004719E2" w:rsidRDefault="004719E2" w:rsidP="004719E2">
      <w:pPr>
        <w:spacing w:line="240" w:lineRule="auto"/>
        <w:rPr>
          <w:rFonts w:ascii="Times New Roman" w:eastAsia="Times New Roman" w:hAnsi="Times New Roman" w:cs="Times New Roman"/>
          <w:sz w:val="24"/>
          <w:szCs w:val="24"/>
        </w:rPr>
      </w:pPr>
      <w:r w:rsidRPr="004719E2">
        <w:rPr>
          <w:rFonts w:ascii="Times New Roman" w:eastAsia="Times New Roman" w:hAnsi="Times New Roman" w:cs="Times New Roman"/>
          <w:sz w:val="24"/>
          <w:szCs w:val="24"/>
        </w:rPr>
        <w:t>Prior to using this module, it is helpful if students are familiar with the following concepts:</w:t>
      </w:r>
      <w:r w:rsidRPr="004719E2">
        <w:rPr>
          <w:rFonts w:ascii="Times New Roman" w:hAnsi="Times New Roman" w:cs="Times New Roman"/>
          <w:sz w:val="24"/>
          <w:szCs w:val="24"/>
        </w:rPr>
        <w:t xml:space="preserve"> </w:t>
      </w:r>
      <w:r w:rsidRPr="004719E2">
        <w:rPr>
          <w:rFonts w:ascii="Times New Roman" w:eastAsia="Times New Roman" w:hAnsi="Times New Roman" w:cs="Times New Roman"/>
          <w:sz w:val="24"/>
          <w:szCs w:val="24"/>
        </w:rPr>
        <w:t>components of the hydrologic cycle</w:t>
      </w:r>
      <w:r w:rsidRPr="004719E2">
        <w:rPr>
          <w:rFonts w:ascii="Times New Roman" w:hAnsi="Times New Roman" w:cs="Times New Roman"/>
          <w:sz w:val="24"/>
          <w:szCs w:val="24"/>
        </w:rPr>
        <w:t xml:space="preserve">, </w:t>
      </w:r>
      <w:r w:rsidRPr="004719E2">
        <w:rPr>
          <w:rFonts w:ascii="Times New Roman" w:eastAsia="Times New Roman" w:hAnsi="Times New Roman" w:cs="Times New Roman"/>
          <w:sz w:val="24"/>
          <w:szCs w:val="24"/>
        </w:rPr>
        <w:t>stream discharge and its measurement</w:t>
      </w:r>
      <w:r w:rsidRPr="004719E2">
        <w:rPr>
          <w:rFonts w:ascii="Times New Roman" w:hAnsi="Times New Roman" w:cs="Times New Roman"/>
          <w:sz w:val="24"/>
          <w:szCs w:val="24"/>
        </w:rPr>
        <w:t xml:space="preserve">, </w:t>
      </w:r>
      <w:r w:rsidRPr="004719E2">
        <w:rPr>
          <w:rFonts w:ascii="Times New Roman" w:eastAsia="Times New Roman" w:hAnsi="Times New Roman" w:cs="Times New Roman"/>
          <w:sz w:val="24"/>
          <w:szCs w:val="24"/>
        </w:rPr>
        <w:t>hydrographs, nutrient cycling</w:t>
      </w:r>
      <w:r w:rsidRPr="004719E2">
        <w:rPr>
          <w:rFonts w:ascii="Times New Roman" w:hAnsi="Times New Roman" w:cs="Times New Roman"/>
          <w:sz w:val="24"/>
          <w:szCs w:val="24"/>
        </w:rPr>
        <w:t>, and r</w:t>
      </w:r>
      <w:r w:rsidRPr="004719E2">
        <w:rPr>
          <w:rFonts w:ascii="Times New Roman" w:eastAsia="Times New Roman" w:hAnsi="Times New Roman" w:cs="Times New Roman"/>
          <w:sz w:val="24"/>
          <w:szCs w:val="24"/>
        </w:rPr>
        <w:t>udimentary operation of Microsoft Excel</w:t>
      </w:r>
      <w:r>
        <w:rPr>
          <w:rFonts w:ascii="Times New Roman" w:eastAsia="Times New Roman" w:hAnsi="Times New Roman" w:cs="Times New Roman"/>
          <w:sz w:val="24"/>
          <w:szCs w:val="24"/>
        </w:rPr>
        <w:t>.</w:t>
      </w:r>
    </w:p>
    <w:p w14:paraId="47BB918E" w14:textId="46FF45EF" w:rsidR="004719E2" w:rsidRDefault="004719E2" w:rsidP="004719E2">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As</w:t>
      </w:r>
      <w:r w:rsidR="00870A2A">
        <w:rPr>
          <w:rFonts w:ascii="Times New Roman" w:hAnsi="Times New Roman" w:cs="Times New Roman"/>
          <w:sz w:val="24"/>
          <w:szCs w:val="24"/>
        </w:rPr>
        <w:t>s</w:t>
      </w:r>
      <w:r>
        <w:rPr>
          <w:rFonts w:ascii="Times New Roman" w:hAnsi="Times New Roman" w:cs="Times New Roman"/>
          <w:sz w:val="24"/>
          <w:szCs w:val="24"/>
        </w:rPr>
        <w:t>ign pre-class readings</w:t>
      </w:r>
    </w:p>
    <w:p w14:paraId="179A4E7C" w14:textId="3F6CD20B" w:rsidR="004719E2" w:rsidRDefault="004719E2" w:rsidP="004719E2">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Give students their handout</w:t>
      </w:r>
    </w:p>
    <w:p w14:paraId="3AFEB623" w14:textId="77777777" w:rsidR="00870A2A" w:rsidRDefault="00870A2A" w:rsidP="004719E2">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 xml:space="preserve">Instructor gives PowerPoint presentation. </w:t>
      </w:r>
    </w:p>
    <w:p w14:paraId="1FA5CF91" w14:textId="54CB802E" w:rsidR="00870A2A" w:rsidRDefault="00870A2A" w:rsidP="004719E2">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Discussion of the readings can be integrated into the presentation or separate.</w:t>
      </w:r>
    </w:p>
    <w:p w14:paraId="1E014CCA" w14:textId="5B02F2EB" w:rsidR="00870A2A" w:rsidRPr="004719E2" w:rsidRDefault="00870A2A" w:rsidP="004719E2">
      <w:pPr>
        <w:pStyle w:val="ListParagraph"/>
        <w:numPr>
          <w:ilvl w:val="0"/>
          <w:numId w:val="13"/>
        </w:numPr>
        <w:spacing w:line="240" w:lineRule="auto"/>
        <w:rPr>
          <w:rFonts w:ascii="Times New Roman" w:hAnsi="Times New Roman" w:cs="Times New Roman"/>
          <w:sz w:val="24"/>
          <w:szCs w:val="24"/>
        </w:rPr>
      </w:pPr>
      <w:r>
        <w:rPr>
          <w:rFonts w:ascii="Times New Roman" w:hAnsi="Times New Roman" w:cs="Times New Roman"/>
          <w:sz w:val="24"/>
          <w:szCs w:val="24"/>
        </w:rPr>
        <w:t xml:space="preserve">After presentation, students work on their computers (possibly in pairs) to complete the module activities. </w:t>
      </w:r>
    </w:p>
    <w:p w14:paraId="5DD08D79" w14:textId="77777777" w:rsidR="00B90592" w:rsidRPr="00B90592" w:rsidRDefault="00B90592" w:rsidP="00B90592">
      <w:pPr>
        <w:spacing w:line="240" w:lineRule="auto"/>
        <w:rPr>
          <w:rFonts w:ascii="Times New Roman" w:eastAsia="Times New Roman" w:hAnsi="Times New Roman" w:cs="Times New Roman"/>
          <w:b/>
          <w:sz w:val="24"/>
          <w:szCs w:val="24"/>
        </w:rPr>
      </w:pPr>
    </w:p>
    <w:p w14:paraId="24D050D2" w14:textId="77777777" w:rsidR="00B90592" w:rsidRPr="004719E2" w:rsidRDefault="00B90592" w:rsidP="00B90592">
      <w:pPr>
        <w:spacing w:line="240" w:lineRule="auto"/>
        <w:rPr>
          <w:rFonts w:ascii="Times New Roman" w:eastAsia="Times New Roman" w:hAnsi="Times New Roman" w:cs="Times New Roman"/>
          <w:sz w:val="24"/>
          <w:szCs w:val="24"/>
          <w:u w:val="single"/>
        </w:rPr>
      </w:pPr>
      <w:r w:rsidRPr="004719E2">
        <w:rPr>
          <w:rFonts w:ascii="Times New Roman" w:eastAsia="Times New Roman" w:hAnsi="Times New Roman" w:cs="Times New Roman"/>
          <w:sz w:val="24"/>
          <w:szCs w:val="24"/>
          <w:u w:val="single"/>
        </w:rPr>
        <w:t>Suggested pre-class readings:</w:t>
      </w:r>
    </w:p>
    <w:p w14:paraId="66B95769" w14:textId="1B2E11C5" w:rsidR="00B90592" w:rsidRPr="00B90592" w:rsidRDefault="00B90592" w:rsidP="00B90592">
      <w:pPr>
        <w:spacing w:line="240" w:lineRule="auto"/>
        <w:rPr>
          <w:rFonts w:ascii="Times New Roman" w:hAnsi="Times New Roman" w:cs="Times New Roman"/>
          <w:sz w:val="24"/>
          <w:szCs w:val="24"/>
        </w:rPr>
      </w:pPr>
      <w:r w:rsidRPr="00B90592">
        <w:rPr>
          <w:rFonts w:ascii="Times New Roman" w:eastAsia="Times New Roman" w:hAnsi="Times New Roman" w:cs="Times New Roman"/>
          <w:sz w:val="24"/>
          <w:szCs w:val="24"/>
        </w:rPr>
        <w:t>To engage the students, the instructor should assign the class a few background readings the wee</w:t>
      </w:r>
      <w:r w:rsidR="00423D71">
        <w:rPr>
          <w:rFonts w:ascii="Times New Roman" w:eastAsia="Times New Roman" w:hAnsi="Times New Roman" w:cs="Times New Roman"/>
          <w:sz w:val="24"/>
          <w:szCs w:val="24"/>
        </w:rPr>
        <w:t xml:space="preserve">k prior to running the module. </w:t>
      </w:r>
      <w:r w:rsidR="000F16CF">
        <w:rPr>
          <w:rFonts w:ascii="Times New Roman" w:eastAsia="Times New Roman" w:hAnsi="Times New Roman" w:cs="Times New Roman"/>
          <w:sz w:val="24"/>
          <w:szCs w:val="24"/>
        </w:rPr>
        <w:t>At a minimum</w:t>
      </w:r>
      <w:r w:rsidR="004F53E1">
        <w:rPr>
          <w:rFonts w:ascii="Times New Roman" w:eastAsia="Times New Roman" w:hAnsi="Times New Roman" w:cs="Times New Roman"/>
          <w:sz w:val="24"/>
          <w:szCs w:val="24"/>
        </w:rPr>
        <w:t>, we recommend media articles about the Toledo water crisis in August 2014 and an article about the Gulf of Mexico dead zone</w:t>
      </w:r>
      <w:r w:rsidR="009705D4">
        <w:rPr>
          <w:rFonts w:ascii="Times New Roman" w:eastAsia="Times New Roman" w:hAnsi="Times New Roman" w:cs="Times New Roman"/>
          <w:sz w:val="24"/>
          <w:szCs w:val="24"/>
        </w:rPr>
        <w:t xml:space="preserve"> – we have </w:t>
      </w:r>
      <w:r w:rsidR="009705D4">
        <w:rPr>
          <w:rFonts w:ascii="Times New Roman" w:eastAsia="Times New Roman" w:hAnsi="Times New Roman" w:cs="Times New Roman"/>
          <w:sz w:val="24"/>
          <w:szCs w:val="24"/>
        </w:rPr>
        <w:lastRenderedPageBreak/>
        <w:t>provided some below, but there will undoubtedly be other similar, more recent articles available over time</w:t>
      </w:r>
      <w:r w:rsidR="00870A2A">
        <w:rPr>
          <w:rFonts w:ascii="Times New Roman" w:eastAsia="Times New Roman" w:hAnsi="Times New Roman" w:cs="Times New Roman"/>
          <w:sz w:val="24"/>
          <w:szCs w:val="24"/>
        </w:rPr>
        <w:t xml:space="preserve"> that might be more appropriate</w:t>
      </w:r>
      <w:r w:rsidR="004F53E1">
        <w:rPr>
          <w:rFonts w:ascii="Times New Roman" w:eastAsia="Times New Roman" w:hAnsi="Times New Roman" w:cs="Times New Roman"/>
          <w:sz w:val="24"/>
          <w:szCs w:val="24"/>
        </w:rPr>
        <w:t xml:space="preserve">. </w:t>
      </w:r>
      <w:r w:rsidR="007A3D9E">
        <w:rPr>
          <w:rFonts w:ascii="Times New Roman" w:eastAsia="Times New Roman" w:hAnsi="Times New Roman" w:cs="Times New Roman"/>
          <w:sz w:val="24"/>
          <w:szCs w:val="24"/>
        </w:rPr>
        <w:t>We encourage instructors to use locally-relevant stories if possible, or to provide broader comparisons by including stories about other lakes around the world.</w:t>
      </w:r>
    </w:p>
    <w:p w14:paraId="6F5B5027" w14:textId="77777777" w:rsidR="00B90592" w:rsidRPr="00B90592" w:rsidRDefault="00B90592" w:rsidP="00B90592">
      <w:pPr>
        <w:spacing w:line="240" w:lineRule="auto"/>
        <w:rPr>
          <w:rFonts w:ascii="Times New Roman" w:hAnsi="Times New Roman" w:cs="Times New Roman"/>
          <w:sz w:val="24"/>
          <w:szCs w:val="24"/>
        </w:rPr>
      </w:pPr>
    </w:p>
    <w:p w14:paraId="1D1ECF6C" w14:textId="1914C979" w:rsidR="00B90592" w:rsidRPr="00B90592" w:rsidRDefault="00B90592" w:rsidP="00B90592">
      <w:pPr>
        <w:spacing w:line="240" w:lineRule="auto"/>
        <w:rPr>
          <w:rFonts w:ascii="Times New Roman" w:hAnsi="Times New Roman" w:cs="Times New Roman"/>
          <w:sz w:val="24"/>
          <w:szCs w:val="24"/>
        </w:rPr>
      </w:pPr>
      <w:r w:rsidRPr="00B90592">
        <w:rPr>
          <w:rFonts w:ascii="Times New Roman" w:eastAsia="Times New Roman" w:hAnsi="Times New Roman" w:cs="Times New Roman"/>
          <w:sz w:val="24"/>
          <w:szCs w:val="24"/>
        </w:rPr>
        <w:t>The following background</w:t>
      </w:r>
      <w:r w:rsidR="009705D4">
        <w:rPr>
          <w:rFonts w:ascii="Times New Roman" w:eastAsia="Times New Roman" w:hAnsi="Times New Roman" w:cs="Times New Roman"/>
          <w:sz w:val="24"/>
          <w:szCs w:val="24"/>
        </w:rPr>
        <w:t xml:space="preserve"> reading articles are available: </w:t>
      </w:r>
    </w:p>
    <w:p w14:paraId="42082166" w14:textId="38AA3542" w:rsidR="00B90592" w:rsidRPr="00B90592" w:rsidRDefault="009705D4" w:rsidP="00B90592">
      <w:pPr>
        <w:pStyle w:val="ListParagraph"/>
        <w:numPr>
          <w:ilvl w:val="0"/>
          <w:numId w:val="5"/>
        </w:numPr>
        <w:spacing w:line="240" w:lineRule="auto"/>
        <w:rPr>
          <w:rFonts w:ascii="Times New Roman" w:hAnsi="Times New Roman" w:cs="Times New Roman"/>
          <w:sz w:val="24"/>
          <w:szCs w:val="24"/>
        </w:rPr>
      </w:pPr>
      <w:r>
        <w:rPr>
          <w:rFonts w:ascii="Times New Roman" w:eastAsia="Times New Roman" w:hAnsi="Times New Roman" w:cs="Times New Roman"/>
          <w:sz w:val="24"/>
          <w:szCs w:val="24"/>
        </w:rPr>
        <w:t>Wines, M. 2014</w:t>
      </w:r>
      <w:r w:rsidR="00B90592" w:rsidRPr="00B90592">
        <w:rPr>
          <w:rFonts w:ascii="Times New Roman" w:eastAsia="Times New Roman" w:hAnsi="Times New Roman" w:cs="Times New Roman"/>
          <w:sz w:val="24"/>
          <w:szCs w:val="24"/>
        </w:rPr>
        <w:t xml:space="preserve">. Behind Toledo’s Water Crisis - a Long-Troubled Lake Erie, </w:t>
      </w:r>
      <w:r w:rsidR="00B90592" w:rsidRPr="00B90592">
        <w:rPr>
          <w:rFonts w:ascii="Times New Roman" w:eastAsia="Times New Roman" w:hAnsi="Times New Roman" w:cs="Times New Roman"/>
          <w:i/>
          <w:sz w:val="24"/>
          <w:szCs w:val="24"/>
        </w:rPr>
        <w:t>New York Times</w:t>
      </w:r>
      <w:r w:rsidR="00B90592" w:rsidRPr="00B90592">
        <w:rPr>
          <w:rFonts w:ascii="Times New Roman" w:eastAsia="Times New Roman" w:hAnsi="Times New Roman" w:cs="Times New Roman"/>
          <w:sz w:val="24"/>
          <w:szCs w:val="24"/>
        </w:rPr>
        <w:t>, August 4: 4 pages.</w:t>
      </w:r>
      <w:r>
        <w:rPr>
          <w:rFonts w:ascii="Times New Roman" w:eastAsia="Times New Roman" w:hAnsi="Times New Roman" w:cs="Times New Roman"/>
          <w:sz w:val="24"/>
          <w:szCs w:val="24"/>
        </w:rPr>
        <w:t xml:space="preserve"> </w:t>
      </w:r>
      <w:hyperlink r:id="rId13" w:history="1">
        <w:r w:rsidRPr="007A7554">
          <w:rPr>
            <w:rStyle w:val="Hyperlink"/>
            <w:rFonts w:ascii="Times New Roman" w:eastAsia="Times New Roman" w:hAnsi="Times New Roman" w:cs="Times New Roman"/>
            <w:sz w:val="24"/>
            <w:szCs w:val="24"/>
          </w:rPr>
          <w:t>https://www.nytimes.com/2014/08/05/us/lifting-ban-toledo-says-its-water-is-safe-to-drink-again.html</w:t>
        </w:r>
      </w:hyperlink>
      <w:r>
        <w:rPr>
          <w:rFonts w:ascii="Times New Roman" w:eastAsia="Times New Roman" w:hAnsi="Times New Roman" w:cs="Times New Roman"/>
          <w:sz w:val="24"/>
          <w:szCs w:val="24"/>
        </w:rPr>
        <w:t xml:space="preserve"> </w:t>
      </w:r>
    </w:p>
    <w:p w14:paraId="4CF6249D" w14:textId="143D920B" w:rsidR="00B90592" w:rsidRPr="00B90592" w:rsidRDefault="009705D4" w:rsidP="00B90592">
      <w:pPr>
        <w:pStyle w:val="ListParagraph"/>
        <w:numPr>
          <w:ilvl w:val="0"/>
          <w:numId w:val="5"/>
        </w:numPr>
        <w:spacing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Zimmer, C. </w:t>
      </w:r>
      <w:r w:rsidR="00B90592" w:rsidRPr="00B90592">
        <w:rPr>
          <w:rFonts w:ascii="Times New Roman" w:eastAsia="Times New Roman" w:hAnsi="Times New Roman" w:cs="Times New Roman"/>
          <w:sz w:val="24"/>
          <w:szCs w:val="24"/>
        </w:rPr>
        <w:t xml:space="preserve">2014. Cyanobacteria are far from just Toledo’s problem.  </w:t>
      </w:r>
      <w:r w:rsidR="00B90592" w:rsidRPr="00B90592">
        <w:rPr>
          <w:rFonts w:ascii="Times New Roman" w:eastAsia="Times New Roman" w:hAnsi="Times New Roman" w:cs="Times New Roman"/>
          <w:i/>
          <w:sz w:val="24"/>
          <w:szCs w:val="24"/>
        </w:rPr>
        <w:t>New York Times</w:t>
      </w:r>
      <w:r w:rsidR="00B90592" w:rsidRPr="00B90592">
        <w:rPr>
          <w:rFonts w:ascii="Times New Roman" w:eastAsia="Times New Roman" w:hAnsi="Times New Roman" w:cs="Times New Roman"/>
          <w:sz w:val="24"/>
          <w:szCs w:val="24"/>
        </w:rPr>
        <w:t>, August 7: 3 pages.</w:t>
      </w:r>
      <w:r>
        <w:rPr>
          <w:rFonts w:ascii="Times New Roman" w:eastAsia="Times New Roman" w:hAnsi="Times New Roman" w:cs="Times New Roman"/>
          <w:sz w:val="24"/>
          <w:szCs w:val="24"/>
        </w:rPr>
        <w:t xml:space="preserve"> </w:t>
      </w:r>
      <w:hyperlink r:id="rId14" w:history="1">
        <w:r w:rsidRPr="007A7554">
          <w:rPr>
            <w:rStyle w:val="Hyperlink"/>
            <w:rFonts w:ascii="Times New Roman" w:eastAsia="Times New Roman" w:hAnsi="Times New Roman" w:cs="Times New Roman"/>
            <w:sz w:val="24"/>
            <w:szCs w:val="24"/>
          </w:rPr>
          <w:t>https://www.nytimes.com/2014/08/07/science/cyanobacteria-are-far-from-just-toledos-problem.html</w:t>
        </w:r>
      </w:hyperlink>
      <w:r>
        <w:rPr>
          <w:rFonts w:ascii="Times New Roman" w:eastAsia="Times New Roman" w:hAnsi="Times New Roman" w:cs="Times New Roman"/>
          <w:sz w:val="24"/>
          <w:szCs w:val="24"/>
        </w:rPr>
        <w:t xml:space="preserve"> </w:t>
      </w:r>
    </w:p>
    <w:p w14:paraId="19E77DB8" w14:textId="42B5AB51" w:rsidR="00B90592" w:rsidRPr="00857481" w:rsidRDefault="009705D4" w:rsidP="00B90592">
      <w:pPr>
        <w:pStyle w:val="ListParagraph"/>
        <w:numPr>
          <w:ilvl w:val="0"/>
          <w:numId w:val="5"/>
        </w:numPr>
        <w:spacing w:line="240" w:lineRule="auto"/>
        <w:rPr>
          <w:rFonts w:ascii="Times New Roman" w:hAnsi="Times New Roman" w:cs="Times New Roman"/>
          <w:sz w:val="24"/>
          <w:szCs w:val="24"/>
        </w:rPr>
      </w:pPr>
      <w:r>
        <w:rPr>
          <w:rFonts w:ascii="Times New Roman" w:eastAsia="Times New Roman" w:hAnsi="Times New Roman" w:cs="Times New Roman"/>
          <w:sz w:val="24"/>
          <w:szCs w:val="24"/>
        </w:rPr>
        <w:t>Shipley-</w:t>
      </w:r>
      <w:proofErr w:type="spellStart"/>
      <w:r>
        <w:rPr>
          <w:rFonts w:ascii="Times New Roman" w:eastAsia="Times New Roman" w:hAnsi="Times New Roman" w:cs="Times New Roman"/>
          <w:sz w:val="24"/>
          <w:szCs w:val="24"/>
        </w:rPr>
        <w:t>Hiles</w:t>
      </w:r>
      <w:proofErr w:type="spellEnd"/>
      <w:r>
        <w:rPr>
          <w:rFonts w:ascii="Times New Roman" w:eastAsia="Times New Roman" w:hAnsi="Times New Roman" w:cs="Times New Roman"/>
          <w:sz w:val="24"/>
          <w:szCs w:val="24"/>
        </w:rPr>
        <w:t>, S. 2012</w:t>
      </w:r>
      <w:r w:rsidR="00B90592" w:rsidRPr="00B90592">
        <w:rPr>
          <w:rFonts w:ascii="Times New Roman" w:eastAsia="Times New Roman" w:hAnsi="Times New Roman" w:cs="Times New Roman"/>
          <w:sz w:val="24"/>
          <w:szCs w:val="24"/>
        </w:rPr>
        <w:t xml:space="preserve">.  Dead zone pollutant grows despite decades of work.  </w:t>
      </w:r>
      <w:r w:rsidR="00B90592" w:rsidRPr="00B90592">
        <w:rPr>
          <w:rFonts w:ascii="Times New Roman" w:eastAsia="Times New Roman" w:hAnsi="Times New Roman" w:cs="Times New Roman"/>
          <w:i/>
          <w:sz w:val="24"/>
          <w:szCs w:val="24"/>
        </w:rPr>
        <w:t>Scientific American</w:t>
      </w:r>
      <w:r>
        <w:rPr>
          <w:rFonts w:ascii="Times New Roman" w:eastAsia="Times New Roman" w:hAnsi="Times New Roman" w:cs="Times New Roman"/>
          <w:sz w:val="24"/>
          <w:szCs w:val="24"/>
        </w:rPr>
        <w:t>, July 9: 6 pages.</w:t>
      </w:r>
      <w:r w:rsidR="00B90592" w:rsidRPr="00B90592">
        <w:rPr>
          <w:rFonts w:ascii="Times New Roman" w:eastAsia="Times New Roman" w:hAnsi="Times New Roman" w:cs="Times New Roman"/>
          <w:sz w:val="24"/>
          <w:szCs w:val="24"/>
        </w:rPr>
        <w:t xml:space="preserve"> </w:t>
      </w:r>
      <w:hyperlink r:id="rId15" w:history="1">
        <w:r w:rsidRPr="007A7554">
          <w:rPr>
            <w:rStyle w:val="Hyperlink"/>
            <w:rFonts w:ascii="Times New Roman" w:eastAsia="Times New Roman" w:hAnsi="Times New Roman" w:cs="Times New Roman"/>
            <w:sz w:val="24"/>
            <w:szCs w:val="24"/>
          </w:rPr>
          <w:t>https://www.scientificamerican.com/article/dead-zone-pollutant-grows-despite-decades-work/</w:t>
        </w:r>
      </w:hyperlink>
      <w:r>
        <w:rPr>
          <w:rFonts w:ascii="Times New Roman" w:eastAsia="Times New Roman" w:hAnsi="Times New Roman" w:cs="Times New Roman"/>
          <w:sz w:val="24"/>
          <w:szCs w:val="24"/>
        </w:rPr>
        <w:t xml:space="preserve"> </w:t>
      </w:r>
      <w:r w:rsidR="001B2605">
        <w:rPr>
          <w:rFonts w:ascii="Times New Roman" w:eastAsia="Times New Roman" w:hAnsi="Times New Roman" w:cs="Times New Roman"/>
          <w:sz w:val="24"/>
          <w:szCs w:val="24"/>
        </w:rPr>
        <w:t xml:space="preserve">Note: The size of the dead zone is </w:t>
      </w:r>
      <w:proofErr w:type="gramStart"/>
      <w:r w:rsidR="001B2605">
        <w:rPr>
          <w:rFonts w:ascii="Times New Roman" w:eastAsia="Times New Roman" w:hAnsi="Times New Roman" w:cs="Times New Roman"/>
          <w:sz w:val="24"/>
          <w:szCs w:val="24"/>
        </w:rPr>
        <w:t>determine</w:t>
      </w:r>
      <w:proofErr w:type="gramEnd"/>
      <w:r w:rsidR="001B2605">
        <w:rPr>
          <w:rFonts w:ascii="Times New Roman" w:eastAsia="Times New Roman" w:hAnsi="Times New Roman" w:cs="Times New Roman"/>
          <w:sz w:val="24"/>
          <w:szCs w:val="24"/>
        </w:rPr>
        <w:t xml:space="preserve"> every year, so it is possible to find the most recent one online.</w:t>
      </w:r>
    </w:p>
    <w:p w14:paraId="0A9A69A3" w14:textId="51A26864" w:rsidR="00857481" w:rsidRPr="007A3D9E" w:rsidRDefault="00857481" w:rsidP="00B90592">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USGS Fact Sheet. 2000. Nitrogen in the Mississippi Basin – Estimating sources and predicting flux to the Gulf of Mexico </w:t>
      </w:r>
      <w:hyperlink r:id="rId16" w:history="1">
        <w:r w:rsidRPr="007A7554">
          <w:rPr>
            <w:rStyle w:val="Hyperlink"/>
            <w:rFonts w:ascii="Times New Roman" w:hAnsi="Times New Roman" w:cs="Times New Roman"/>
            <w:sz w:val="24"/>
            <w:szCs w:val="24"/>
          </w:rPr>
          <w:t>https://ks.water.usgs.gov/pubs/fact-sheets/fs.135-00.pdf</w:t>
        </w:r>
      </w:hyperlink>
      <w:r>
        <w:rPr>
          <w:rFonts w:ascii="Times New Roman" w:hAnsi="Times New Roman" w:cs="Times New Roman"/>
          <w:sz w:val="24"/>
          <w:szCs w:val="24"/>
        </w:rPr>
        <w:t xml:space="preserve"> </w:t>
      </w:r>
    </w:p>
    <w:p w14:paraId="56AA37CF" w14:textId="06F69FB9" w:rsidR="007A3D9E" w:rsidRPr="007A3D9E" w:rsidRDefault="007A3D9E" w:rsidP="00B90592">
      <w:pPr>
        <w:pStyle w:val="ListParagraph"/>
        <w:numPr>
          <w:ilvl w:val="0"/>
          <w:numId w:val="5"/>
        </w:numPr>
        <w:spacing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Lake </w:t>
      </w:r>
      <w:r w:rsidR="009705D4">
        <w:rPr>
          <w:rFonts w:ascii="Times New Roman" w:eastAsia="Times New Roman" w:hAnsi="Times New Roman" w:cs="Times New Roman"/>
          <w:sz w:val="24"/>
          <w:szCs w:val="24"/>
        </w:rPr>
        <w:t xml:space="preserve">Atitlan, </w:t>
      </w:r>
      <w:proofErr w:type="spellStart"/>
      <w:r w:rsidR="009705D4">
        <w:rPr>
          <w:rFonts w:ascii="Times New Roman" w:eastAsia="Times New Roman" w:hAnsi="Times New Roman" w:cs="Times New Roman"/>
          <w:sz w:val="24"/>
          <w:szCs w:val="24"/>
        </w:rPr>
        <w:t>Guatamala</w:t>
      </w:r>
      <w:proofErr w:type="spellEnd"/>
      <w:r w:rsidR="009705D4">
        <w:rPr>
          <w:rFonts w:ascii="Times New Roman" w:eastAsia="Times New Roman" w:hAnsi="Times New Roman" w:cs="Times New Roman"/>
          <w:sz w:val="24"/>
          <w:szCs w:val="24"/>
        </w:rPr>
        <w:t xml:space="preserve">: Webster, M. </w:t>
      </w:r>
      <w:r>
        <w:rPr>
          <w:rFonts w:ascii="Times New Roman" w:eastAsia="Times New Roman" w:hAnsi="Times New Roman" w:cs="Times New Roman"/>
          <w:sz w:val="24"/>
          <w:szCs w:val="24"/>
        </w:rPr>
        <w:t>2010</w:t>
      </w:r>
      <w:r w:rsidR="009705D4">
        <w:rPr>
          <w:rFonts w:ascii="Times New Roman" w:eastAsia="Times New Roman" w:hAnsi="Times New Roman" w:cs="Times New Roman"/>
          <w:sz w:val="24"/>
          <w:szCs w:val="24"/>
        </w:rPr>
        <w:t xml:space="preserve">. Pollution, algae mar beautiful lake. </w:t>
      </w:r>
      <w:proofErr w:type="spellStart"/>
      <w:r w:rsidR="009705D4" w:rsidRPr="009705D4">
        <w:rPr>
          <w:rFonts w:ascii="Times New Roman" w:eastAsia="Times New Roman" w:hAnsi="Times New Roman" w:cs="Times New Roman"/>
          <w:i/>
          <w:sz w:val="24"/>
          <w:szCs w:val="24"/>
        </w:rPr>
        <w:t>LiveScience</w:t>
      </w:r>
      <w:proofErr w:type="spellEnd"/>
      <w:r w:rsidR="009705D4" w:rsidRPr="009705D4">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 </w:t>
      </w:r>
      <w:hyperlink r:id="rId17" w:history="1">
        <w:r w:rsidRPr="007A7554">
          <w:rPr>
            <w:rStyle w:val="Hyperlink"/>
            <w:rFonts w:ascii="Times New Roman" w:eastAsia="Times New Roman" w:hAnsi="Times New Roman" w:cs="Times New Roman"/>
            <w:sz w:val="24"/>
            <w:szCs w:val="24"/>
          </w:rPr>
          <w:t>http://www.livescience.com/29571-pollution-algae-mar-once-beautiful-lake.html</w:t>
        </w:r>
      </w:hyperlink>
      <w:r>
        <w:rPr>
          <w:rFonts w:ascii="Times New Roman" w:eastAsia="Times New Roman" w:hAnsi="Times New Roman" w:cs="Times New Roman"/>
          <w:sz w:val="24"/>
          <w:szCs w:val="24"/>
        </w:rPr>
        <w:t xml:space="preserve"> </w:t>
      </w:r>
    </w:p>
    <w:p w14:paraId="5517D10D" w14:textId="356074F9" w:rsidR="007A3D9E" w:rsidRPr="003D6094" w:rsidRDefault="007A3D9E" w:rsidP="00B90592">
      <w:pPr>
        <w:pStyle w:val="ListParagraph"/>
        <w:numPr>
          <w:ilvl w:val="0"/>
          <w:numId w:val="5"/>
        </w:numPr>
        <w:spacing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Lake </w:t>
      </w:r>
      <w:proofErr w:type="spellStart"/>
      <w:r>
        <w:rPr>
          <w:rFonts w:ascii="Times New Roman" w:eastAsia="Times New Roman" w:hAnsi="Times New Roman" w:cs="Times New Roman"/>
          <w:sz w:val="24"/>
          <w:szCs w:val="24"/>
        </w:rPr>
        <w:t>Taihu</w:t>
      </w:r>
      <w:proofErr w:type="spellEnd"/>
      <w:r w:rsidR="009705D4">
        <w:rPr>
          <w:rFonts w:ascii="Times New Roman" w:eastAsia="Times New Roman" w:hAnsi="Times New Roman" w:cs="Times New Roman"/>
          <w:sz w:val="24"/>
          <w:szCs w:val="24"/>
        </w:rPr>
        <w:t xml:space="preserve">, China: Stone, R. 2011. On Lake </w:t>
      </w:r>
      <w:proofErr w:type="spellStart"/>
      <w:r w:rsidR="009705D4">
        <w:rPr>
          <w:rFonts w:ascii="Times New Roman" w:eastAsia="Times New Roman" w:hAnsi="Times New Roman" w:cs="Times New Roman"/>
          <w:sz w:val="24"/>
          <w:szCs w:val="24"/>
        </w:rPr>
        <w:t>Taihu</w:t>
      </w:r>
      <w:proofErr w:type="spellEnd"/>
      <w:r w:rsidR="009705D4">
        <w:rPr>
          <w:rFonts w:ascii="Times New Roman" w:eastAsia="Times New Roman" w:hAnsi="Times New Roman" w:cs="Times New Roman"/>
          <w:sz w:val="24"/>
          <w:szCs w:val="24"/>
        </w:rPr>
        <w:t xml:space="preserve">, China moves to battle massive algae blooms. </w:t>
      </w:r>
      <w:r w:rsidR="009705D4" w:rsidRPr="009705D4">
        <w:rPr>
          <w:rFonts w:ascii="Times New Roman" w:eastAsia="Times New Roman" w:hAnsi="Times New Roman" w:cs="Times New Roman"/>
          <w:i/>
          <w:sz w:val="24"/>
          <w:szCs w:val="24"/>
        </w:rPr>
        <w:t>YaleEnvironment360</w:t>
      </w:r>
      <w:r w:rsidR="009705D4">
        <w:rPr>
          <w:rFonts w:ascii="Times New Roman" w:eastAsia="Times New Roman" w:hAnsi="Times New Roman" w:cs="Times New Roman"/>
          <w:sz w:val="24"/>
          <w:szCs w:val="24"/>
        </w:rPr>
        <w:t xml:space="preserve"> </w:t>
      </w:r>
      <w:hyperlink r:id="rId18" w:history="1">
        <w:r w:rsidR="009705D4" w:rsidRPr="007A7554">
          <w:rPr>
            <w:rStyle w:val="Hyperlink"/>
            <w:rFonts w:ascii="Times New Roman" w:eastAsia="Times New Roman" w:hAnsi="Times New Roman" w:cs="Times New Roman"/>
            <w:sz w:val="24"/>
            <w:szCs w:val="24"/>
          </w:rPr>
          <w:t>http://e360.yale.edu/features/on_lake_taihu_china_moves_to_battle_massive_algae_blooms</w:t>
        </w:r>
      </w:hyperlink>
      <w:r w:rsidR="009705D4">
        <w:rPr>
          <w:rFonts w:ascii="Times New Roman" w:eastAsia="Times New Roman" w:hAnsi="Times New Roman" w:cs="Times New Roman"/>
          <w:sz w:val="24"/>
          <w:szCs w:val="24"/>
        </w:rPr>
        <w:t xml:space="preserve"> </w:t>
      </w:r>
    </w:p>
    <w:p w14:paraId="21377308" w14:textId="1927361F" w:rsidR="003D6094" w:rsidRDefault="003D6094" w:rsidP="003D6094">
      <w:pPr>
        <w:spacing w:line="240" w:lineRule="auto"/>
        <w:rPr>
          <w:rFonts w:ascii="Times New Roman" w:hAnsi="Times New Roman" w:cs="Times New Roman"/>
          <w:sz w:val="24"/>
          <w:szCs w:val="24"/>
        </w:rPr>
      </w:pPr>
      <w:r>
        <w:rPr>
          <w:rFonts w:ascii="Times New Roman" w:hAnsi="Times New Roman" w:cs="Times New Roman"/>
          <w:sz w:val="24"/>
          <w:szCs w:val="24"/>
        </w:rPr>
        <w:t xml:space="preserve">These articles may be appropriate for a more advanced class and can provide additional background information </w:t>
      </w:r>
      <w:r w:rsidR="00A3041C">
        <w:rPr>
          <w:rFonts w:ascii="Times New Roman" w:hAnsi="Times New Roman" w:cs="Times New Roman"/>
          <w:sz w:val="24"/>
          <w:szCs w:val="24"/>
        </w:rPr>
        <w:t>for an instructor. These articles explain the role that ins</w:t>
      </w:r>
      <w:r w:rsidR="00A3041C" w:rsidRPr="00B90592">
        <w:rPr>
          <w:rFonts w:ascii="Times New Roman" w:hAnsi="Times New Roman" w:cs="Times New Roman"/>
          <w:sz w:val="24"/>
          <w:szCs w:val="24"/>
        </w:rPr>
        <w:t>tream and stream groundwater interactions can have on nitrogen export from watersheds.</w:t>
      </w:r>
    </w:p>
    <w:p w14:paraId="29BF310C" w14:textId="77777777" w:rsidR="003D6094" w:rsidRPr="00B90592" w:rsidRDefault="003D6094" w:rsidP="00A3041C">
      <w:pPr>
        <w:pStyle w:val="ListParagraph"/>
        <w:numPr>
          <w:ilvl w:val="0"/>
          <w:numId w:val="14"/>
        </w:numPr>
        <w:spacing w:line="240" w:lineRule="auto"/>
        <w:rPr>
          <w:rFonts w:ascii="Times New Roman" w:hAnsi="Times New Roman" w:cs="Times New Roman"/>
          <w:sz w:val="24"/>
          <w:szCs w:val="24"/>
        </w:rPr>
      </w:pPr>
      <w:r w:rsidRPr="00B90592">
        <w:rPr>
          <w:rFonts w:ascii="Times New Roman" w:hAnsi="Times New Roman" w:cs="Times New Roman"/>
          <w:sz w:val="24"/>
          <w:szCs w:val="24"/>
        </w:rPr>
        <w:t>Alexander, Richard B., Richard A. Smith, and Gregory E. Schwarz. "Effect of stream channel size on the delivery of nitrogen to the Gulf of Mexico." Nature 403, no. 6771 (2000): 758-761.</w:t>
      </w:r>
    </w:p>
    <w:p w14:paraId="25F12568" w14:textId="77777777" w:rsidR="00A3041C" w:rsidRDefault="003D6094" w:rsidP="00A3041C">
      <w:pPr>
        <w:pStyle w:val="ListParagraph"/>
        <w:numPr>
          <w:ilvl w:val="0"/>
          <w:numId w:val="14"/>
        </w:numPr>
        <w:spacing w:line="240" w:lineRule="auto"/>
        <w:rPr>
          <w:rFonts w:ascii="Times New Roman" w:hAnsi="Times New Roman" w:cs="Times New Roman"/>
          <w:sz w:val="24"/>
          <w:szCs w:val="24"/>
        </w:rPr>
      </w:pPr>
      <w:r w:rsidRPr="00B90592">
        <w:rPr>
          <w:rFonts w:ascii="Times New Roman" w:hAnsi="Times New Roman" w:cs="Times New Roman"/>
          <w:sz w:val="24"/>
          <w:szCs w:val="24"/>
        </w:rPr>
        <w:t xml:space="preserve">Peterson, Bruce J., Wilfred M. </w:t>
      </w:r>
      <w:proofErr w:type="spellStart"/>
      <w:r w:rsidRPr="00B90592">
        <w:rPr>
          <w:rFonts w:ascii="Times New Roman" w:hAnsi="Times New Roman" w:cs="Times New Roman"/>
          <w:sz w:val="24"/>
          <w:szCs w:val="24"/>
        </w:rPr>
        <w:t>Wollheim</w:t>
      </w:r>
      <w:proofErr w:type="spellEnd"/>
      <w:r w:rsidRPr="00B90592">
        <w:rPr>
          <w:rFonts w:ascii="Times New Roman" w:hAnsi="Times New Roman" w:cs="Times New Roman"/>
          <w:sz w:val="24"/>
          <w:szCs w:val="24"/>
        </w:rPr>
        <w:t xml:space="preserve">, Patrick J. Mulholland, Jackson R. Webster, Judy L. Meyer, Jennifer L. Tank, </w:t>
      </w:r>
      <w:proofErr w:type="spellStart"/>
      <w:r w:rsidRPr="00B90592">
        <w:rPr>
          <w:rFonts w:ascii="Times New Roman" w:hAnsi="Times New Roman" w:cs="Times New Roman"/>
          <w:sz w:val="24"/>
          <w:szCs w:val="24"/>
        </w:rPr>
        <w:t>Eugènia</w:t>
      </w:r>
      <w:proofErr w:type="spellEnd"/>
      <w:r w:rsidRPr="00B90592">
        <w:rPr>
          <w:rFonts w:ascii="Times New Roman" w:hAnsi="Times New Roman" w:cs="Times New Roman"/>
          <w:sz w:val="24"/>
          <w:szCs w:val="24"/>
        </w:rPr>
        <w:t xml:space="preserve"> </w:t>
      </w:r>
      <w:proofErr w:type="spellStart"/>
      <w:r w:rsidRPr="00B90592">
        <w:rPr>
          <w:rFonts w:ascii="Times New Roman" w:hAnsi="Times New Roman" w:cs="Times New Roman"/>
          <w:sz w:val="24"/>
          <w:szCs w:val="24"/>
        </w:rPr>
        <w:t>Martí</w:t>
      </w:r>
      <w:proofErr w:type="spellEnd"/>
      <w:r w:rsidRPr="00B90592">
        <w:rPr>
          <w:rFonts w:ascii="Times New Roman" w:hAnsi="Times New Roman" w:cs="Times New Roman"/>
          <w:sz w:val="24"/>
          <w:szCs w:val="24"/>
        </w:rPr>
        <w:t xml:space="preserve"> et al. "Control of nitrogen export from watersheds by headwater streams." Science 292, no. 5514 (2001): 86-90.</w:t>
      </w:r>
    </w:p>
    <w:p w14:paraId="60F0A061" w14:textId="5BF253C9" w:rsidR="003D6094" w:rsidRPr="008018E7" w:rsidRDefault="003D6094" w:rsidP="003D6094">
      <w:pPr>
        <w:pStyle w:val="ListParagraph"/>
        <w:numPr>
          <w:ilvl w:val="0"/>
          <w:numId w:val="14"/>
        </w:numPr>
        <w:spacing w:line="240" w:lineRule="auto"/>
        <w:rPr>
          <w:rFonts w:ascii="Times New Roman" w:hAnsi="Times New Roman" w:cs="Times New Roman"/>
          <w:sz w:val="24"/>
          <w:szCs w:val="24"/>
        </w:rPr>
      </w:pPr>
      <w:r w:rsidRPr="00A3041C">
        <w:rPr>
          <w:rFonts w:ascii="Times New Roman" w:hAnsi="Times New Roman" w:cs="Times New Roman"/>
          <w:sz w:val="24"/>
          <w:szCs w:val="24"/>
        </w:rPr>
        <w:t xml:space="preserve">Hedin, Lars O., Joseph C. von Fischer, Nathaniel E. </w:t>
      </w:r>
      <w:proofErr w:type="spellStart"/>
      <w:r w:rsidRPr="00A3041C">
        <w:rPr>
          <w:rFonts w:ascii="Times New Roman" w:hAnsi="Times New Roman" w:cs="Times New Roman"/>
          <w:sz w:val="24"/>
          <w:szCs w:val="24"/>
        </w:rPr>
        <w:t>Ostrom</w:t>
      </w:r>
      <w:proofErr w:type="spellEnd"/>
      <w:r w:rsidRPr="00A3041C">
        <w:rPr>
          <w:rFonts w:ascii="Times New Roman" w:hAnsi="Times New Roman" w:cs="Times New Roman"/>
          <w:sz w:val="24"/>
          <w:szCs w:val="24"/>
        </w:rPr>
        <w:t>, Brian P. Kennedy, Michael G. Brown, and G. Philip Robertson. "Thermodynamic constraints on nitrogen transformations and other biogeochemical processes at soil–stream interfaces." Ecology 79, no. 2 (1998): 684-703.</w:t>
      </w:r>
    </w:p>
    <w:p w14:paraId="75FA7F99" w14:textId="77777777" w:rsidR="003D66DA" w:rsidRPr="00B90592" w:rsidRDefault="003D66DA" w:rsidP="00B90592">
      <w:pPr>
        <w:spacing w:line="240" w:lineRule="auto"/>
        <w:rPr>
          <w:rFonts w:ascii="Times New Roman" w:hAnsi="Times New Roman" w:cs="Times New Roman"/>
          <w:sz w:val="24"/>
          <w:szCs w:val="24"/>
        </w:rPr>
      </w:pPr>
    </w:p>
    <w:p w14:paraId="25FDFFC7" w14:textId="20C9D68F" w:rsidR="003D66DA" w:rsidRPr="00560D46" w:rsidRDefault="00CF0B9A" w:rsidP="00B90592">
      <w:pPr>
        <w:spacing w:line="240" w:lineRule="auto"/>
        <w:rPr>
          <w:rFonts w:ascii="Times New Roman" w:hAnsi="Times New Roman" w:cs="Times New Roman"/>
          <w:sz w:val="24"/>
          <w:szCs w:val="24"/>
          <w:u w:val="single"/>
        </w:rPr>
      </w:pPr>
      <w:r w:rsidRPr="00560D46">
        <w:rPr>
          <w:rFonts w:ascii="Times New Roman" w:eastAsia="Times New Roman" w:hAnsi="Times New Roman" w:cs="Times New Roman"/>
          <w:sz w:val="24"/>
          <w:szCs w:val="24"/>
          <w:u w:val="single"/>
        </w:rPr>
        <w:t>Useful internet sources</w:t>
      </w:r>
      <w:r w:rsidR="00560D46">
        <w:rPr>
          <w:rFonts w:ascii="Times New Roman" w:eastAsia="Times New Roman" w:hAnsi="Times New Roman" w:cs="Times New Roman"/>
          <w:sz w:val="24"/>
          <w:szCs w:val="24"/>
          <w:u w:val="single"/>
        </w:rPr>
        <w:t>:</w:t>
      </w:r>
    </w:p>
    <w:p w14:paraId="1C4A3E0D" w14:textId="68E756FF" w:rsidR="00B90592" w:rsidRPr="00C86EC5" w:rsidRDefault="00845449" w:rsidP="00C86EC5">
      <w:pPr>
        <w:spacing w:line="240" w:lineRule="auto"/>
        <w:rPr>
          <w:rFonts w:ascii="Times New Roman" w:hAnsi="Times New Roman" w:cs="Times New Roman"/>
          <w:sz w:val="24"/>
          <w:szCs w:val="24"/>
        </w:rPr>
      </w:pPr>
      <w:r w:rsidRPr="00B90592">
        <w:rPr>
          <w:rFonts w:ascii="Times New Roman" w:eastAsia="Times New Roman" w:hAnsi="Times New Roman" w:cs="Times New Roman"/>
          <w:sz w:val="24"/>
          <w:szCs w:val="24"/>
        </w:rPr>
        <w:t xml:space="preserve">These are supplemental resources which students or </w:t>
      </w:r>
      <w:r w:rsidR="00423D71">
        <w:rPr>
          <w:rFonts w:ascii="Times New Roman" w:eastAsia="Times New Roman" w:hAnsi="Times New Roman" w:cs="Times New Roman"/>
          <w:sz w:val="24"/>
          <w:szCs w:val="24"/>
        </w:rPr>
        <w:t>instructors</w:t>
      </w:r>
      <w:r w:rsidRPr="00B90592">
        <w:rPr>
          <w:rFonts w:ascii="Times New Roman" w:eastAsia="Times New Roman" w:hAnsi="Times New Roman" w:cs="Times New Roman"/>
          <w:sz w:val="24"/>
          <w:szCs w:val="24"/>
        </w:rPr>
        <w:t xml:space="preserve"> may wish to explore during the module.  </w:t>
      </w:r>
    </w:p>
    <w:p w14:paraId="673B3A82" w14:textId="77777777" w:rsidR="00C86EC5" w:rsidRDefault="00C86EC5" w:rsidP="00B90592">
      <w:pPr>
        <w:pStyle w:val="NormalWeb"/>
        <w:spacing w:before="0" w:beforeAutospacing="0" w:after="0" w:afterAutospacing="0"/>
        <w:rPr>
          <w:b/>
          <w:bCs/>
          <w:color w:val="000000"/>
        </w:rPr>
      </w:pPr>
    </w:p>
    <w:p w14:paraId="6640797F" w14:textId="77777777" w:rsidR="00B90592" w:rsidRPr="00560D46" w:rsidRDefault="00B90592" w:rsidP="00B90592">
      <w:pPr>
        <w:pStyle w:val="NormalWeb"/>
        <w:spacing w:before="0" w:beforeAutospacing="0" w:after="0" w:afterAutospacing="0"/>
      </w:pPr>
      <w:r w:rsidRPr="00560D46">
        <w:rPr>
          <w:bCs/>
          <w:color w:val="000000"/>
        </w:rPr>
        <w:t>Managing the Problem:</w:t>
      </w:r>
    </w:p>
    <w:p w14:paraId="5281E908" w14:textId="77777777" w:rsidR="00B90592" w:rsidRPr="00C86EC5" w:rsidRDefault="00B90592" w:rsidP="00C86EC5">
      <w:pPr>
        <w:pStyle w:val="NormalWeb"/>
        <w:numPr>
          <w:ilvl w:val="0"/>
          <w:numId w:val="8"/>
        </w:numPr>
        <w:spacing w:before="0" w:beforeAutospacing="0" w:after="0" w:afterAutospacing="0"/>
      </w:pPr>
      <w:r w:rsidRPr="00C86EC5">
        <w:rPr>
          <w:bCs/>
          <w:color w:val="000000"/>
        </w:rPr>
        <w:lastRenderedPageBreak/>
        <w:t>Information on State “303D Lists”</w:t>
      </w:r>
      <w:r w:rsidR="00C86EC5" w:rsidRPr="00C86EC5">
        <w:t xml:space="preserve">: </w:t>
      </w:r>
      <w:hyperlink r:id="rId19" w:history="1">
        <w:r w:rsidRPr="00C86EC5">
          <w:rPr>
            <w:rStyle w:val="Hyperlink"/>
          </w:rPr>
          <w:t>http://water.epa.gov/lawsregs/lawsguidance/cwa/tmdl/overview.cfm</w:t>
        </w:r>
      </w:hyperlink>
      <w:r w:rsidRPr="00C86EC5">
        <w:rPr>
          <w:color w:val="000000"/>
        </w:rPr>
        <w:t xml:space="preserve"> </w:t>
      </w:r>
      <w:r w:rsidRPr="00C86EC5">
        <w:rPr>
          <w:rStyle w:val="apple-tab-span"/>
          <w:color w:val="000000"/>
        </w:rPr>
        <w:tab/>
      </w:r>
    </w:p>
    <w:p w14:paraId="5CD5C753" w14:textId="77777777" w:rsidR="00B90592" w:rsidRPr="00C86EC5" w:rsidRDefault="00B90592" w:rsidP="00C86EC5">
      <w:pPr>
        <w:pStyle w:val="NormalWeb"/>
        <w:numPr>
          <w:ilvl w:val="0"/>
          <w:numId w:val="8"/>
        </w:numPr>
        <w:spacing w:before="0" w:beforeAutospacing="0" w:after="0" w:afterAutospacing="0"/>
      </w:pPr>
      <w:r w:rsidRPr="00C86EC5">
        <w:rPr>
          <w:bCs/>
          <w:color w:val="000000"/>
        </w:rPr>
        <w:t>Information on Total Maximum Daily Load (TMDL)</w:t>
      </w:r>
      <w:r w:rsidR="00C86EC5" w:rsidRPr="00C86EC5">
        <w:t>:</w:t>
      </w:r>
      <w:r w:rsidR="00C86EC5">
        <w:t xml:space="preserve"> </w:t>
      </w:r>
      <w:hyperlink r:id="rId20" w:history="1">
        <w:r w:rsidRPr="00B90592">
          <w:rPr>
            <w:rStyle w:val="Hyperlink"/>
          </w:rPr>
          <w:t>http://water.epa.gov/lawsregs/lawsguidance/cwa/tmdl/overviewoftmdl.cfm</w:t>
        </w:r>
      </w:hyperlink>
      <w:r w:rsidRPr="00B90592">
        <w:rPr>
          <w:color w:val="000000"/>
        </w:rPr>
        <w:t xml:space="preserve"> </w:t>
      </w:r>
    </w:p>
    <w:p w14:paraId="104C98D1" w14:textId="77777777" w:rsidR="00B90592" w:rsidRPr="00560D46" w:rsidRDefault="00B90592" w:rsidP="00B90592">
      <w:pPr>
        <w:pStyle w:val="NormalWeb"/>
        <w:spacing w:before="0" w:beforeAutospacing="0" w:after="0" w:afterAutospacing="0"/>
      </w:pPr>
      <w:r w:rsidRPr="00560D46">
        <w:rPr>
          <w:bCs/>
          <w:color w:val="000000"/>
        </w:rPr>
        <w:t>US Water Quality Criteria</w:t>
      </w:r>
    </w:p>
    <w:p w14:paraId="658F3F59" w14:textId="77777777" w:rsidR="00B90592" w:rsidRPr="00C86EC5" w:rsidRDefault="00C86EC5" w:rsidP="00C86EC5">
      <w:pPr>
        <w:pStyle w:val="NormalWeb"/>
        <w:numPr>
          <w:ilvl w:val="0"/>
          <w:numId w:val="9"/>
        </w:numPr>
        <w:spacing w:before="0" w:beforeAutospacing="0" w:after="0" w:afterAutospacing="0"/>
      </w:pPr>
      <w:r w:rsidRPr="00C86EC5">
        <w:rPr>
          <w:bCs/>
          <w:color w:val="000000"/>
        </w:rPr>
        <w:t xml:space="preserve">Aquatic Life Water Quality </w:t>
      </w:r>
      <w:r w:rsidR="00B90592" w:rsidRPr="00C86EC5">
        <w:rPr>
          <w:bCs/>
          <w:color w:val="000000"/>
        </w:rPr>
        <w:t>Guidelines</w:t>
      </w:r>
      <w:r w:rsidRPr="00C86EC5">
        <w:t xml:space="preserve">: </w:t>
      </w:r>
      <w:hyperlink r:id="rId21" w:history="1">
        <w:r w:rsidR="00B90592" w:rsidRPr="00C86EC5">
          <w:rPr>
            <w:rStyle w:val="Hyperlink"/>
          </w:rPr>
          <w:t>http://water.epa.gov/scitech/swguidance/standards/criteria/current/index.cfm</w:t>
        </w:r>
      </w:hyperlink>
      <w:r w:rsidR="00B90592" w:rsidRPr="00C86EC5">
        <w:rPr>
          <w:color w:val="000000"/>
        </w:rPr>
        <w:t xml:space="preserve">  </w:t>
      </w:r>
    </w:p>
    <w:p w14:paraId="437E26BA" w14:textId="77777777" w:rsidR="00B90592" w:rsidRPr="00C86EC5" w:rsidRDefault="00B90592" w:rsidP="00C86EC5">
      <w:pPr>
        <w:pStyle w:val="NormalWeb"/>
        <w:numPr>
          <w:ilvl w:val="0"/>
          <w:numId w:val="9"/>
        </w:numPr>
        <w:spacing w:before="0" w:beforeAutospacing="0" w:after="0" w:afterAutospacing="0"/>
      </w:pPr>
      <w:r w:rsidRPr="00C86EC5">
        <w:rPr>
          <w:bCs/>
          <w:color w:val="000000"/>
        </w:rPr>
        <w:t>National Primary Drinking Water Regulations</w:t>
      </w:r>
      <w:r w:rsidR="00C86EC5" w:rsidRPr="00C86EC5">
        <w:t xml:space="preserve">: </w:t>
      </w:r>
      <w:hyperlink r:id="rId22" w:history="1">
        <w:r w:rsidRPr="00C86EC5">
          <w:rPr>
            <w:rStyle w:val="Hyperlink"/>
          </w:rPr>
          <w:t>http://water.epa.gov/drink/contaminants/index.cfm</w:t>
        </w:r>
      </w:hyperlink>
      <w:r w:rsidRPr="00C86EC5">
        <w:rPr>
          <w:color w:val="000000"/>
        </w:rPr>
        <w:t xml:space="preserve"> </w:t>
      </w:r>
    </w:p>
    <w:p w14:paraId="59A08EE7" w14:textId="77777777" w:rsidR="00B90592" w:rsidRPr="00560D46" w:rsidRDefault="00B90592" w:rsidP="00B90592">
      <w:pPr>
        <w:pStyle w:val="NormalWeb"/>
        <w:spacing w:before="0" w:beforeAutospacing="0" w:after="0" w:afterAutospacing="0"/>
      </w:pPr>
      <w:r w:rsidRPr="00560D46">
        <w:rPr>
          <w:bCs/>
          <w:color w:val="000000"/>
        </w:rPr>
        <w:t>Nutrient Pollution:</w:t>
      </w:r>
    </w:p>
    <w:p w14:paraId="7F970BE1" w14:textId="77777777" w:rsidR="00B90592" w:rsidRPr="00560D46" w:rsidRDefault="00C86EC5" w:rsidP="00C86EC5">
      <w:pPr>
        <w:pStyle w:val="NormalWeb"/>
        <w:numPr>
          <w:ilvl w:val="0"/>
          <w:numId w:val="11"/>
        </w:numPr>
        <w:spacing w:before="0" w:beforeAutospacing="0" w:after="0" w:afterAutospacing="0"/>
      </w:pPr>
      <w:r w:rsidRPr="00560D46">
        <w:t xml:space="preserve">Overview, background, and solutions: </w:t>
      </w:r>
      <w:hyperlink r:id="rId23" w:history="1">
        <w:r w:rsidR="00B90592" w:rsidRPr="00560D46">
          <w:rPr>
            <w:rStyle w:val="Hyperlink"/>
          </w:rPr>
          <w:t>http://www2.epa.gov/nutrientpollution</w:t>
        </w:r>
      </w:hyperlink>
    </w:p>
    <w:p w14:paraId="60AFC061" w14:textId="77777777" w:rsidR="00B90592" w:rsidRPr="00560D46" w:rsidRDefault="00B90592" w:rsidP="00B90592">
      <w:pPr>
        <w:pStyle w:val="NormalWeb"/>
        <w:spacing w:before="0" w:beforeAutospacing="0" w:after="0" w:afterAutospacing="0"/>
      </w:pPr>
      <w:r w:rsidRPr="00560D46">
        <w:rPr>
          <w:bCs/>
          <w:color w:val="000000"/>
        </w:rPr>
        <w:t>Response to nutrient loading estuaries (hypoxia):</w:t>
      </w:r>
    </w:p>
    <w:p w14:paraId="51743D00" w14:textId="77777777" w:rsidR="00B90592" w:rsidRPr="00C86EC5" w:rsidRDefault="00B90592" w:rsidP="00C86EC5">
      <w:pPr>
        <w:pStyle w:val="NormalWeb"/>
        <w:numPr>
          <w:ilvl w:val="0"/>
          <w:numId w:val="10"/>
        </w:numPr>
        <w:spacing w:before="0" w:beforeAutospacing="0" w:after="0" w:afterAutospacing="0"/>
        <w:textAlignment w:val="baseline"/>
        <w:rPr>
          <w:color w:val="000000"/>
        </w:rPr>
      </w:pPr>
      <w:r w:rsidRPr="00B90592">
        <w:rPr>
          <w:color w:val="000000"/>
        </w:rPr>
        <w:t>Chesapeake Bay Hypoxia:</w:t>
      </w:r>
      <w:r w:rsidR="00C86EC5">
        <w:rPr>
          <w:color w:val="000000"/>
        </w:rPr>
        <w:t xml:space="preserve"> </w:t>
      </w:r>
      <w:hyperlink r:id="rId24" w:history="1">
        <w:r w:rsidRPr="00B90592">
          <w:rPr>
            <w:rStyle w:val="Hyperlink"/>
          </w:rPr>
          <w:t>http://www.cbf.org/about-the-bay/issues/dead-zones/nitrogen-phosphorus</w:t>
        </w:r>
      </w:hyperlink>
    </w:p>
    <w:p w14:paraId="7779F138" w14:textId="2964F2F8" w:rsidR="003D66DA" w:rsidRPr="00560D46" w:rsidRDefault="00B90592" w:rsidP="00B90592">
      <w:pPr>
        <w:pStyle w:val="NormalWeb"/>
        <w:numPr>
          <w:ilvl w:val="0"/>
          <w:numId w:val="10"/>
        </w:numPr>
        <w:spacing w:before="0" w:beforeAutospacing="0" w:after="0" w:afterAutospacing="0"/>
        <w:textAlignment w:val="baseline"/>
        <w:rPr>
          <w:color w:val="000000"/>
        </w:rPr>
      </w:pPr>
      <w:r w:rsidRPr="00B90592">
        <w:rPr>
          <w:color w:val="000000"/>
        </w:rPr>
        <w:t xml:space="preserve">Gulf of Mexico Hypoxia: </w:t>
      </w:r>
      <w:hyperlink r:id="rId25" w:history="1">
        <w:r w:rsidRPr="00B90592">
          <w:rPr>
            <w:rStyle w:val="Hyperlink"/>
          </w:rPr>
          <w:t>http://water.epa.gov/type/watersheds/named/msbasin/hypoxia101.cfm</w:t>
        </w:r>
      </w:hyperlink>
    </w:p>
    <w:p w14:paraId="1C27F392" w14:textId="77777777" w:rsidR="003D66DA" w:rsidRPr="00B90592" w:rsidRDefault="003D66DA" w:rsidP="00B90592">
      <w:pPr>
        <w:spacing w:line="240" w:lineRule="auto"/>
        <w:rPr>
          <w:rFonts w:ascii="Times New Roman" w:hAnsi="Times New Roman" w:cs="Times New Roman"/>
          <w:sz w:val="24"/>
          <w:szCs w:val="24"/>
        </w:rPr>
      </w:pPr>
    </w:p>
    <w:p w14:paraId="43B7F630" w14:textId="77777777" w:rsidR="003D66DA" w:rsidRPr="00B90592" w:rsidRDefault="007056E9" w:rsidP="00B90592">
      <w:pPr>
        <w:spacing w:line="240" w:lineRule="auto"/>
        <w:rPr>
          <w:rFonts w:ascii="Times New Roman" w:hAnsi="Times New Roman" w:cs="Times New Roman"/>
          <w:b/>
          <w:sz w:val="24"/>
          <w:szCs w:val="24"/>
          <w:u w:val="single"/>
        </w:rPr>
      </w:pPr>
      <w:r w:rsidRPr="00B90592">
        <w:rPr>
          <w:rFonts w:ascii="Times New Roman" w:hAnsi="Times New Roman" w:cs="Times New Roman"/>
          <w:b/>
          <w:sz w:val="24"/>
          <w:szCs w:val="24"/>
          <w:u w:val="single"/>
        </w:rPr>
        <w:t xml:space="preserve">Presentation </w:t>
      </w:r>
    </w:p>
    <w:p w14:paraId="036C7A97" w14:textId="77777777" w:rsidR="00C86EC5" w:rsidRPr="00B90592" w:rsidRDefault="00C86EC5" w:rsidP="00C86EC5">
      <w:pPr>
        <w:spacing w:line="240" w:lineRule="auto"/>
        <w:rPr>
          <w:rFonts w:ascii="Times New Roman" w:hAnsi="Times New Roman" w:cs="Times New Roman"/>
          <w:sz w:val="24"/>
          <w:szCs w:val="24"/>
        </w:rPr>
      </w:pPr>
      <w:r w:rsidRPr="00B90592">
        <w:rPr>
          <w:rFonts w:ascii="Times New Roman" w:eastAsia="Times New Roman" w:hAnsi="Times New Roman" w:cs="Times New Roman"/>
          <w:sz w:val="24"/>
          <w:szCs w:val="24"/>
        </w:rPr>
        <w:t>The PowerPoint presentation introduces the key concepts and terminol</w:t>
      </w:r>
      <w:r>
        <w:rPr>
          <w:rFonts w:ascii="Times New Roman" w:eastAsia="Times New Roman" w:hAnsi="Times New Roman" w:cs="Times New Roman"/>
          <w:sz w:val="24"/>
          <w:szCs w:val="24"/>
        </w:rPr>
        <w:t xml:space="preserve">ogy referenced in this module. </w:t>
      </w:r>
      <w:r w:rsidRPr="00B90592">
        <w:rPr>
          <w:rFonts w:ascii="Times New Roman" w:eastAsia="Times New Roman" w:hAnsi="Times New Roman" w:cs="Times New Roman"/>
          <w:sz w:val="24"/>
          <w:szCs w:val="24"/>
        </w:rPr>
        <w:t>Short-duration, classroom demonstrations/activities are de</w:t>
      </w:r>
      <w:r>
        <w:rPr>
          <w:rFonts w:ascii="Times New Roman" w:eastAsia="Times New Roman" w:hAnsi="Times New Roman" w:cs="Times New Roman"/>
          <w:sz w:val="24"/>
          <w:szCs w:val="24"/>
        </w:rPr>
        <w:t xml:space="preserve">scribed within the PowerPoint. </w:t>
      </w:r>
      <w:r w:rsidRPr="00B90592">
        <w:rPr>
          <w:rFonts w:ascii="Times New Roman" w:eastAsia="Times New Roman" w:hAnsi="Times New Roman" w:cs="Times New Roman"/>
          <w:sz w:val="24"/>
          <w:szCs w:val="24"/>
        </w:rPr>
        <w:t xml:space="preserve">The instructor may choose to: a) show the entire presentation during one, </w:t>
      </w:r>
      <w:proofErr w:type="gramStart"/>
      <w:r w:rsidRPr="00B90592">
        <w:rPr>
          <w:rFonts w:ascii="Times New Roman" w:eastAsia="Times New Roman" w:hAnsi="Times New Roman" w:cs="Times New Roman"/>
          <w:sz w:val="24"/>
          <w:szCs w:val="24"/>
        </w:rPr>
        <w:t>50 minute</w:t>
      </w:r>
      <w:proofErr w:type="gramEnd"/>
      <w:r w:rsidRPr="00B90592">
        <w:rPr>
          <w:rFonts w:ascii="Times New Roman" w:eastAsia="Times New Roman" w:hAnsi="Times New Roman" w:cs="Times New Roman"/>
          <w:sz w:val="24"/>
          <w:szCs w:val="24"/>
        </w:rPr>
        <w:t xml:space="preserve"> class period at the beginning of the module;</w:t>
      </w:r>
      <w:r>
        <w:rPr>
          <w:rFonts w:ascii="Times New Roman" w:hAnsi="Times New Roman" w:cs="Times New Roman"/>
          <w:sz w:val="24"/>
          <w:szCs w:val="24"/>
        </w:rPr>
        <w:t xml:space="preserve"> </w:t>
      </w:r>
      <w:r w:rsidRPr="00B90592">
        <w:rPr>
          <w:rFonts w:ascii="Times New Roman" w:eastAsia="Times New Roman" w:hAnsi="Times New Roman" w:cs="Times New Roman"/>
          <w:sz w:val="24"/>
          <w:szCs w:val="24"/>
        </w:rPr>
        <w:t xml:space="preserve">b) break the presentation into smaller components, and show these components between the activities; c) assign the PowerPoint along with the pre-reading.    </w:t>
      </w:r>
    </w:p>
    <w:p w14:paraId="6157E7D7" w14:textId="202F17AE" w:rsidR="0077610D" w:rsidRDefault="0077610D" w:rsidP="00B90592">
      <w:pPr>
        <w:spacing w:line="240" w:lineRule="auto"/>
        <w:rPr>
          <w:rFonts w:ascii="Times New Roman" w:hAnsi="Times New Roman" w:cs="Times New Roman"/>
          <w:sz w:val="24"/>
          <w:szCs w:val="24"/>
        </w:rPr>
      </w:pPr>
    </w:p>
    <w:p w14:paraId="5C3A1488" w14:textId="19EEB3B6" w:rsidR="00ED4DF4" w:rsidRDefault="0077610D" w:rsidP="00B90592">
      <w:pPr>
        <w:pStyle w:val="ListParagraph"/>
        <w:numPr>
          <w:ilvl w:val="0"/>
          <w:numId w:val="17"/>
        </w:numPr>
        <w:spacing w:line="240" w:lineRule="auto"/>
        <w:rPr>
          <w:rFonts w:ascii="Times New Roman" w:hAnsi="Times New Roman" w:cs="Times New Roman"/>
          <w:sz w:val="24"/>
          <w:szCs w:val="24"/>
        </w:rPr>
      </w:pPr>
      <w:r w:rsidRPr="005534D7">
        <w:rPr>
          <w:rFonts w:ascii="Times New Roman" w:hAnsi="Times New Roman" w:cs="Times New Roman"/>
          <w:sz w:val="24"/>
          <w:szCs w:val="24"/>
        </w:rPr>
        <w:t>Summary of nutrients – the purpose of this section is to provide students with an understanding of what a nutrient is, and how higher concentrations can potential</w:t>
      </w:r>
      <w:r w:rsidR="00ED4DF4" w:rsidRPr="005534D7">
        <w:rPr>
          <w:rFonts w:ascii="Times New Roman" w:hAnsi="Times New Roman" w:cs="Times New Roman"/>
          <w:sz w:val="24"/>
          <w:szCs w:val="24"/>
        </w:rPr>
        <w:t>ly</w:t>
      </w:r>
      <w:r w:rsidRPr="005534D7">
        <w:rPr>
          <w:rFonts w:ascii="Times New Roman" w:hAnsi="Times New Roman" w:cs="Times New Roman"/>
          <w:sz w:val="24"/>
          <w:szCs w:val="24"/>
        </w:rPr>
        <w:t xml:space="preserve"> be harmful. </w:t>
      </w:r>
      <w:r w:rsidR="00ED4DF4" w:rsidRPr="005534D7">
        <w:rPr>
          <w:rFonts w:ascii="Times New Roman" w:hAnsi="Times New Roman" w:cs="Times New Roman"/>
          <w:sz w:val="24"/>
          <w:szCs w:val="24"/>
        </w:rPr>
        <w:t xml:space="preserve">Because this module focuses on nitrogen, examples are provided of how nitrogen can be toxic at high concentrations. </w:t>
      </w:r>
      <w:r w:rsidR="00BF7064" w:rsidRPr="005534D7">
        <w:rPr>
          <w:rFonts w:ascii="Times New Roman" w:hAnsi="Times New Roman" w:cs="Times New Roman"/>
          <w:sz w:val="24"/>
          <w:szCs w:val="24"/>
        </w:rPr>
        <w:t xml:space="preserve">Make a note of the 10 mg/l drinking water limit, because in a few slides there is a map with data on it allowing you to observe where stream levels are above drinking water limits. Since many streams flow into reservoirs, this is an indication of potential drinking water issues (which are not uncommon in the Midwestern USA). </w:t>
      </w:r>
    </w:p>
    <w:p w14:paraId="7571102D" w14:textId="77777777" w:rsidR="005534D7" w:rsidRPr="005534D7" w:rsidRDefault="005534D7" w:rsidP="005534D7">
      <w:pPr>
        <w:pStyle w:val="ListParagraph"/>
        <w:spacing w:line="240" w:lineRule="auto"/>
        <w:rPr>
          <w:rFonts w:ascii="Times New Roman" w:hAnsi="Times New Roman" w:cs="Times New Roman"/>
          <w:sz w:val="24"/>
          <w:szCs w:val="24"/>
        </w:rPr>
      </w:pPr>
    </w:p>
    <w:p w14:paraId="0F3A5828" w14:textId="51D0FAD8" w:rsidR="00BF7064" w:rsidRPr="005534D7" w:rsidRDefault="00BF7064" w:rsidP="005534D7">
      <w:pPr>
        <w:pStyle w:val="ListParagraph"/>
        <w:numPr>
          <w:ilvl w:val="0"/>
          <w:numId w:val="17"/>
        </w:numPr>
        <w:spacing w:line="240" w:lineRule="auto"/>
        <w:rPr>
          <w:rFonts w:ascii="Times New Roman" w:hAnsi="Times New Roman" w:cs="Times New Roman"/>
          <w:sz w:val="24"/>
          <w:szCs w:val="24"/>
        </w:rPr>
      </w:pPr>
      <w:r w:rsidRPr="005534D7">
        <w:rPr>
          <w:rFonts w:ascii="Times New Roman" w:hAnsi="Times New Roman" w:cs="Times New Roman"/>
          <w:sz w:val="24"/>
          <w:szCs w:val="24"/>
        </w:rPr>
        <w:t>Nitrogen Cycle</w:t>
      </w:r>
      <w:r w:rsidR="003015EA" w:rsidRPr="005534D7">
        <w:rPr>
          <w:rFonts w:ascii="Times New Roman" w:hAnsi="Times New Roman" w:cs="Times New Roman"/>
          <w:sz w:val="24"/>
          <w:szCs w:val="24"/>
        </w:rPr>
        <w:t xml:space="preserve"> and redox</w:t>
      </w:r>
      <w:r w:rsidRPr="005534D7">
        <w:rPr>
          <w:rFonts w:ascii="Times New Roman" w:hAnsi="Times New Roman" w:cs="Times New Roman"/>
          <w:sz w:val="24"/>
          <w:szCs w:val="24"/>
        </w:rPr>
        <w:t xml:space="preserve"> – To understand how nitrate concentrations in a stream can vary over time, students will need to at least conceptually understand the nitrogen cycle, and how nitrogen and is transformed. It may be helpful to list the different forms of nitrogen on the board for future reference or to have students draw their own conceptual diagrams of the nitrogen cycle and discuss them before showing the diagrams here.  For more advanced classes, </w:t>
      </w:r>
      <w:r w:rsidR="003015EA" w:rsidRPr="005534D7">
        <w:rPr>
          <w:rFonts w:ascii="Times New Roman" w:hAnsi="Times New Roman" w:cs="Times New Roman"/>
          <w:sz w:val="24"/>
          <w:szCs w:val="24"/>
        </w:rPr>
        <w:t xml:space="preserve">it may be appropriate to include detailed discussions of redox conditions and how they influence the nitrogen cycle, or it may be sufficient to just say that denitrification occurs at low oxygen levels, such as those found in where there is water that is not flowing rapidly (e.g. wetlands, wet soil, </w:t>
      </w:r>
      <w:proofErr w:type="spellStart"/>
      <w:r w:rsidR="00EF30B5" w:rsidRPr="005534D7">
        <w:rPr>
          <w:rFonts w:ascii="Times New Roman" w:hAnsi="Times New Roman" w:cs="Times New Roman"/>
          <w:sz w:val="24"/>
          <w:szCs w:val="24"/>
        </w:rPr>
        <w:t>hyporhei</w:t>
      </w:r>
      <w:r w:rsidR="003015EA" w:rsidRPr="005534D7">
        <w:rPr>
          <w:rFonts w:ascii="Times New Roman" w:hAnsi="Times New Roman" w:cs="Times New Roman"/>
          <w:sz w:val="24"/>
          <w:szCs w:val="24"/>
        </w:rPr>
        <w:t>c</w:t>
      </w:r>
      <w:proofErr w:type="spellEnd"/>
      <w:r w:rsidR="003015EA" w:rsidRPr="005534D7">
        <w:rPr>
          <w:rFonts w:ascii="Times New Roman" w:hAnsi="Times New Roman" w:cs="Times New Roman"/>
          <w:sz w:val="24"/>
          <w:szCs w:val="24"/>
        </w:rPr>
        <w:t xml:space="preserve"> flow paths deeper in the stream bed). The important take-home message is that students understand that biological processes can influence nitrogen concentrations in a stream, through the uptake of nitrogen (by either algae or microbial communities).</w:t>
      </w:r>
    </w:p>
    <w:p w14:paraId="4604D293" w14:textId="77777777" w:rsidR="003015EA" w:rsidRDefault="003015EA" w:rsidP="00B90592">
      <w:pPr>
        <w:spacing w:line="240" w:lineRule="auto"/>
        <w:rPr>
          <w:rFonts w:ascii="Times New Roman" w:hAnsi="Times New Roman" w:cs="Times New Roman"/>
          <w:sz w:val="24"/>
          <w:szCs w:val="24"/>
        </w:rPr>
      </w:pPr>
    </w:p>
    <w:p w14:paraId="420F2326" w14:textId="77D0E85D" w:rsidR="003015EA" w:rsidRPr="005534D7" w:rsidRDefault="003015EA" w:rsidP="005534D7">
      <w:pPr>
        <w:pStyle w:val="ListParagraph"/>
        <w:numPr>
          <w:ilvl w:val="0"/>
          <w:numId w:val="17"/>
        </w:numPr>
        <w:spacing w:line="240" w:lineRule="auto"/>
        <w:rPr>
          <w:rFonts w:ascii="Times New Roman" w:hAnsi="Times New Roman" w:cs="Times New Roman"/>
          <w:sz w:val="24"/>
          <w:szCs w:val="24"/>
        </w:rPr>
      </w:pPr>
      <w:r w:rsidRPr="005534D7">
        <w:rPr>
          <w:rFonts w:ascii="Times New Roman" w:hAnsi="Times New Roman" w:cs="Times New Roman"/>
          <w:sz w:val="24"/>
          <w:szCs w:val="24"/>
        </w:rPr>
        <w:t xml:space="preserve">Nitrogen in streams – the next set of slide focuses on </w:t>
      </w:r>
      <w:r w:rsidR="00131170" w:rsidRPr="005534D7">
        <w:rPr>
          <w:rFonts w:ascii="Times New Roman" w:hAnsi="Times New Roman" w:cs="Times New Roman"/>
          <w:sz w:val="24"/>
          <w:szCs w:val="24"/>
        </w:rPr>
        <w:t>demonstrating some of</w:t>
      </w:r>
      <w:r w:rsidRPr="005534D7">
        <w:rPr>
          <w:rFonts w:ascii="Times New Roman" w:hAnsi="Times New Roman" w:cs="Times New Roman"/>
          <w:sz w:val="24"/>
          <w:szCs w:val="24"/>
        </w:rPr>
        <w:t xml:space="preserve"> the environment</w:t>
      </w:r>
      <w:r w:rsidR="00131170" w:rsidRPr="005534D7">
        <w:rPr>
          <w:rFonts w:ascii="Times New Roman" w:hAnsi="Times New Roman" w:cs="Times New Roman"/>
          <w:sz w:val="24"/>
          <w:szCs w:val="24"/>
        </w:rPr>
        <w:t>al problems associated with nitrogen in streams</w:t>
      </w:r>
      <w:r w:rsidR="00B75397" w:rsidRPr="005534D7">
        <w:rPr>
          <w:rFonts w:ascii="Times New Roman" w:hAnsi="Times New Roman" w:cs="Times New Roman"/>
          <w:sz w:val="24"/>
          <w:szCs w:val="24"/>
        </w:rPr>
        <w:t xml:space="preserve"> and the role of human activity. </w:t>
      </w:r>
    </w:p>
    <w:p w14:paraId="1313AE7D" w14:textId="614E2115" w:rsidR="00131170" w:rsidRPr="00E07F6C" w:rsidRDefault="00131170" w:rsidP="0017413F">
      <w:pPr>
        <w:pStyle w:val="ListParagraph"/>
        <w:numPr>
          <w:ilvl w:val="0"/>
          <w:numId w:val="18"/>
        </w:numPr>
        <w:spacing w:line="240" w:lineRule="auto"/>
        <w:ind w:left="1440"/>
        <w:rPr>
          <w:rFonts w:ascii="Times New Roman" w:hAnsi="Times New Roman" w:cs="Times New Roman"/>
          <w:sz w:val="24"/>
          <w:szCs w:val="24"/>
        </w:rPr>
      </w:pPr>
      <w:r w:rsidRPr="00E07F6C">
        <w:rPr>
          <w:rFonts w:ascii="Times New Roman" w:hAnsi="Times New Roman" w:cs="Times New Roman"/>
          <w:sz w:val="24"/>
          <w:szCs w:val="24"/>
        </w:rPr>
        <w:t xml:space="preserve">The US map showing nitrogen concentrations in streams is from the </w:t>
      </w:r>
      <w:proofErr w:type="spellStart"/>
      <w:r w:rsidRPr="00E07F6C">
        <w:rPr>
          <w:rFonts w:ascii="Times New Roman" w:hAnsi="Times New Roman" w:cs="Times New Roman"/>
          <w:sz w:val="24"/>
          <w:szCs w:val="24"/>
        </w:rPr>
        <w:t>Wadeable</w:t>
      </w:r>
      <w:proofErr w:type="spellEnd"/>
      <w:r w:rsidRPr="00E07F6C">
        <w:rPr>
          <w:rFonts w:ascii="Times New Roman" w:hAnsi="Times New Roman" w:cs="Times New Roman"/>
          <w:sz w:val="24"/>
          <w:szCs w:val="24"/>
        </w:rPr>
        <w:t xml:space="preserve"> Streams Assessment in 2006.</w:t>
      </w:r>
      <w:r w:rsidR="00E07F6C" w:rsidRPr="00E07F6C">
        <w:rPr>
          <w:rFonts w:ascii="Times New Roman" w:hAnsi="Times New Roman" w:cs="Times New Roman"/>
          <w:sz w:val="24"/>
          <w:szCs w:val="24"/>
        </w:rPr>
        <w:t xml:space="preserve"> </w:t>
      </w:r>
      <w:r w:rsidRPr="00E07F6C">
        <w:rPr>
          <w:rFonts w:ascii="Times New Roman" w:hAnsi="Times New Roman" w:cs="Times New Roman"/>
          <w:sz w:val="24"/>
          <w:szCs w:val="24"/>
        </w:rPr>
        <w:t>Note the high concentration in the Midwest</w:t>
      </w:r>
      <w:r w:rsidR="00B75397" w:rsidRPr="00E07F6C">
        <w:rPr>
          <w:rFonts w:ascii="Times New Roman" w:hAnsi="Times New Roman" w:cs="Times New Roman"/>
          <w:sz w:val="24"/>
          <w:szCs w:val="24"/>
        </w:rPr>
        <w:t xml:space="preserve"> in the upper Mississippi River watershed</w:t>
      </w:r>
      <w:r w:rsidRPr="00E07F6C">
        <w:rPr>
          <w:rFonts w:ascii="Times New Roman" w:hAnsi="Times New Roman" w:cs="Times New Roman"/>
          <w:sz w:val="24"/>
          <w:szCs w:val="24"/>
        </w:rPr>
        <w:t>, that are near or above the drinking water limit.</w:t>
      </w:r>
    </w:p>
    <w:p w14:paraId="1EBB1B78" w14:textId="4B433C1D" w:rsidR="00131170" w:rsidRPr="00E07F6C" w:rsidRDefault="00B75397" w:rsidP="0017413F">
      <w:pPr>
        <w:pStyle w:val="ListParagraph"/>
        <w:numPr>
          <w:ilvl w:val="0"/>
          <w:numId w:val="18"/>
        </w:numPr>
        <w:spacing w:line="240" w:lineRule="auto"/>
        <w:ind w:left="1440"/>
        <w:rPr>
          <w:rFonts w:ascii="Times New Roman" w:hAnsi="Times New Roman" w:cs="Times New Roman"/>
          <w:sz w:val="24"/>
          <w:szCs w:val="24"/>
        </w:rPr>
      </w:pPr>
      <w:r w:rsidRPr="00E07F6C">
        <w:rPr>
          <w:rFonts w:ascii="Times New Roman" w:hAnsi="Times New Roman" w:cs="Times New Roman"/>
          <w:sz w:val="24"/>
          <w:szCs w:val="24"/>
        </w:rPr>
        <w:t xml:space="preserve">Nitrogen inputs to the Mississippi River watershed. </w:t>
      </w:r>
      <w:r w:rsidRPr="00E07F6C">
        <w:rPr>
          <w:rFonts w:ascii="Times New Roman" w:hAnsi="Times New Roman" w:cs="Times New Roman"/>
          <w:i/>
          <w:sz w:val="24"/>
          <w:szCs w:val="24"/>
        </w:rPr>
        <w:t>What do you think the high inputs are associated with?</w:t>
      </w:r>
      <w:r w:rsidRPr="00E07F6C">
        <w:rPr>
          <w:rFonts w:ascii="Times New Roman" w:hAnsi="Times New Roman" w:cs="Times New Roman"/>
          <w:sz w:val="24"/>
          <w:szCs w:val="24"/>
        </w:rPr>
        <w:t xml:space="preserve"> These inputs occur in areas of high corn and soybean production.</w:t>
      </w:r>
    </w:p>
    <w:p w14:paraId="1895F0CA" w14:textId="2B284419" w:rsidR="00B75397" w:rsidRPr="00E07F6C" w:rsidRDefault="00B75397" w:rsidP="0017413F">
      <w:pPr>
        <w:pStyle w:val="ListParagraph"/>
        <w:numPr>
          <w:ilvl w:val="0"/>
          <w:numId w:val="18"/>
        </w:numPr>
        <w:spacing w:line="240" w:lineRule="auto"/>
        <w:ind w:left="1440"/>
        <w:rPr>
          <w:rFonts w:ascii="Times New Roman" w:hAnsi="Times New Roman" w:cs="Times New Roman"/>
          <w:sz w:val="24"/>
          <w:szCs w:val="24"/>
        </w:rPr>
      </w:pPr>
      <w:r w:rsidRPr="00E07F6C">
        <w:rPr>
          <w:rFonts w:ascii="Times New Roman" w:hAnsi="Times New Roman" w:cs="Times New Roman"/>
          <w:sz w:val="24"/>
          <w:szCs w:val="24"/>
        </w:rPr>
        <w:t xml:space="preserve">Sources of nitrogen. This is an older graph (cannot find an updated one) that shows how N inputs have changed. Legumes introduce nitrogen because they are nitrogen-fixing plants. This is a good place to ask students the </w:t>
      </w:r>
      <w:r w:rsidRPr="00E07F6C">
        <w:rPr>
          <w:rFonts w:ascii="Times New Roman" w:hAnsi="Times New Roman" w:cs="Times New Roman"/>
          <w:i/>
          <w:sz w:val="24"/>
          <w:szCs w:val="24"/>
        </w:rPr>
        <w:t>difference between point-source and non-point-source, or ask them to identify which might be which</w:t>
      </w:r>
      <w:r w:rsidRPr="00E07F6C">
        <w:rPr>
          <w:rFonts w:ascii="Times New Roman" w:hAnsi="Times New Roman" w:cs="Times New Roman"/>
          <w:sz w:val="24"/>
          <w:szCs w:val="24"/>
        </w:rPr>
        <w:t>.</w:t>
      </w:r>
      <w:r w:rsidR="00E07F6C" w:rsidRPr="00E07F6C">
        <w:rPr>
          <w:rFonts w:ascii="Times New Roman" w:hAnsi="Times New Roman" w:cs="Times New Roman"/>
          <w:sz w:val="24"/>
          <w:szCs w:val="24"/>
        </w:rPr>
        <w:t xml:space="preserve"> </w:t>
      </w:r>
      <w:r w:rsidRPr="00E07F6C">
        <w:rPr>
          <w:rFonts w:ascii="Times New Roman" w:hAnsi="Times New Roman" w:cs="Times New Roman"/>
          <w:sz w:val="24"/>
          <w:szCs w:val="24"/>
        </w:rPr>
        <w:t xml:space="preserve">The EPA only regulates point-source inputs, which becomes an important point to make during later discussions about management. </w:t>
      </w:r>
    </w:p>
    <w:p w14:paraId="4D30B44D" w14:textId="7B619BCC" w:rsidR="003015EA" w:rsidRPr="00E07F6C" w:rsidRDefault="00B75397" w:rsidP="0017413F">
      <w:pPr>
        <w:pStyle w:val="ListParagraph"/>
        <w:numPr>
          <w:ilvl w:val="0"/>
          <w:numId w:val="18"/>
        </w:numPr>
        <w:spacing w:line="240" w:lineRule="auto"/>
        <w:ind w:left="1440"/>
        <w:rPr>
          <w:rFonts w:ascii="Times New Roman" w:hAnsi="Times New Roman" w:cs="Times New Roman"/>
          <w:sz w:val="24"/>
          <w:szCs w:val="24"/>
        </w:rPr>
      </w:pPr>
      <w:r w:rsidRPr="00E07F6C">
        <w:rPr>
          <w:rFonts w:ascii="Times New Roman" w:hAnsi="Times New Roman" w:cs="Times New Roman"/>
          <w:sz w:val="24"/>
          <w:szCs w:val="24"/>
        </w:rPr>
        <w:t>Sources</w:t>
      </w:r>
      <w:r w:rsidR="00E07F6C" w:rsidRPr="00E07F6C">
        <w:rPr>
          <w:rFonts w:ascii="Times New Roman" w:hAnsi="Times New Roman" w:cs="Times New Roman"/>
          <w:sz w:val="24"/>
          <w:szCs w:val="24"/>
        </w:rPr>
        <w:t xml:space="preserve"> of nitrogen inputs. Here you can see that on main input source that’s changed has been fertilizer inputs. These are used mainly for growing corn. Increased soybean (legume) cropping can also contribute nitrogen, as legumes fix atmospheric nitrogen, which then can be lost from the watershed as nitrogen exuded from roots into the soil or through the decomposition of the organic matter. Note that point sources are not major contributors. The Haber-Bosch process was originally developed to create nitrogen explosives, but it’s use to create nitrogen fertilizer has allow food production to increase and support a growing human population.</w:t>
      </w:r>
    </w:p>
    <w:p w14:paraId="3570C5F6" w14:textId="77777777" w:rsidR="005534D7" w:rsidRDefault="005534D7" w:rsidP="0017413F">
      <w:pPr>
        <w:spacing w:line="240" w:lineRule="auto"/>
        <w:ind w:left="360"/>
        <w:rPr>
          <w:rFonts w:ascii="Times New Roman" w:hAnsi="Times New Roman" w:cs="Times New Roman"/>
          <w:sz w:val="24"/>
          <w:szCs w:val="24"/>
        </w:rPr>
      </w:pPr>
    </w:p>
    <w:p w14:paraId="4DE160F9" w14:textId="1759632F" w:rsidR="00E07F6C" w:rsidRPr="0017413F" w:rsidRDefault="00E07F6C" w:rsidP="0017413F">
      <w:pPr>
        <w:pStyle w:val="ListParagraph"/>
        <w:numPr>
          <w:ilvl w:val="0"/>
          <w:numId w:val="19"/>
        </w:numPr>
        <w:spacing w:line="240" w:lineRule="auto"/>
        <w:rPr>
          <w:rFonts w:ascii="Times New Roman" w:hAnsi="Times New Roman" w:cs="Times New Roman"/>
          <w:sz w:val="24"/>
          <w:szCs w:val="24"/>
        </w:rPr>
      </w:pPr>
      <w:r w:rsidRPr="0017413F">
        <w:rPr>
          <w:rFonts w:ascii="Times New Roman" w:hAnsi="Times New Roman" w:cs="Times New Roman"/>
          <w:sz w:val="24"/>
          <w:szCs w:val="24"/>
        </w:rPr>
        <w:t xml:space="preserve">Nitrogen losses and consequences – this set of slides show how much of nitrogen </w:t>
      </w:r>
      <w:proofErr w:type="gramStart"/>
      <w:r w:rsidRPr="0017413F">
        <w:rPr>
          <w:rFonts w:ascii="Times New Roman" w:hAnsi="Times New Roman" w:cs="Times New Roman"/>
          <w:sz w:val="24"/>
          <w:szCs w:val="24"/>
        </w:rPr>
        <w:t>actually leaves</w:t>
      </w:r>
      <w:proofErr w:type="gramEnd"/>
      <w:r w:rsidRPr="0017413F">
        <w:rPr>
          <w:rFonts w:ascii="Times New Roman" w:hAnsi="Times New Roman" w:cs="Times New Roman"/>
          <w:sz w:val="24"/>
          <w:szCs w:val="24"/>
        </w:rPr>
        <w:t xml:space="preserve"> these areas and drains into the Mississippi River as well as the general impacts of nutrient inputs to freshwater and near-shore marine ecosystems. </w:t>
      </w:r>
    </w:p>
    <w:p w14:paraId="5B3EB09A" w14:textId="0D25E4CD" w:rsidR="00E07F6C" w:rsidRPr="005534D7" w:rsidRDefault="00E07F6C" w:rsidP="0017413F">
      <w:pPr>
        <w:pStyle w:val="ListParagraph"/>
        <w:numPr>
          <w:ilvl w:val="0"/>
          <w:numId w:val="20"/>
        </w:numPr>
        <w:spacing w:line="240" w:lineRule="auto"/>
        <w:rPr>
          <w:rFonts w:ascii="Times New Roman" w:hAnsi="Times New Roman" w:cs="Times New Roman"/>
          <w:sz w:val="24"/>
          <w:szCs w:val="24"/>
        </w:rPr>
      </w:pPr>
      <w:r w:rsidRPr="005534D7">
        <w:rPr>
          <w:rFonts w:ascii="Times New Roman" w:hAnsi="Times New Roman" w:cs="Times New Roman"/>
          <w:sz w:val="24"/>
          <w:szCs w:val="24"/>
        </w:rPr>
        <w:t>Nitrogen yields visibly spatially related to nitrogen inputs.</w:t>
      </w:r>
    </w:p>
    <w:p w14:paraId="0F09FC6F" w14:textId="0C7624F5" w:rsidR="00E07F6C" w:rsidRPr="005534D7" w:rsidRDefault="00E07F6C" w:rsidP="0017413F">
      <w:pPr>
        <w:pStyle w:val="ListParagraph"/>
        <w:numPr>
          <w:ilvl w:val="0"/>
          <w:numId w:val="20"/>
        </w:numPr>
        <w:spacing w:line="240" w:lineRule="auto"/>
        <w:rPr>
          <w:rFonts w:ascii="Times New Roman" w:hAnsi="Times New Roman" w:cs="Times New Roman"/>
          <w:sz w:val="24"/>
          <w:szCs w:val="24"/>
        </w:rPr>
      </w:pPr>
      <w:r w:rsidRPr="005534D7">
        <w:rPr>
          <w:rFonts w:ascii="Times New Roman" w:hAnsi="Times New Roman" w:cs="Times New Roman"/>
          <w:sz w:val="24"/>
          <w:szCs w:val="24"/>
        </w:rPr>
        <w:t xml:space="preserve">Eutrophication causes algae blooms in freshwater systems. For cyanobacteria (also called blue-green algae), phosphorus is often the main nutrient that triggers these blooms. Other factors, like warmer and calmer water also contribute. Large algal blooms are unsightly, </w:t>
      </w:r>
      <w:proofErr w:type="gramStart"/>
      <w:r w:rsidRPr="005534D7">
        <w:rPr>
          <w:rFonts w:ascii="Times New Roman" w:hAnsi="Times New Roman" w:cs="Times New Roman"/>
          <w:sz w:val="24"/>
          <w:szCs w:val="24"/>
        </w:rPr>
        <w:t>and also</w:t>
      </w:r>
      <w:proofErr w:type="gramEnd"/>
      <w:r w:rsidRPr="005534D7">
        <w:rPr>
          <w:rFonts w:ascii="Times New Roman" w:hAnsi="Times New Roman" w:cs="Times New Roman"/>
          <w:sz w:val="24"/>
          <w:szCs w:val="24"/>
        </w:rPr>
        <w:t xml:space="preserve"> begin to smell as the algae die and decompose. Some types of cyanobacteria produce toxins, and these toxins can make the water</w:t>
      </w:r>
      <w:r w:rsidR="00FB07B0" w:rsidRPr="005534D7">
        <w:rPr>
          <w:rFonts w:ascii="Times New Roman" w:hAnsi="Times New Roman" w:cs="Times New Roman"/>
          <w:sz w:val="24"/>
          <w:szCs w:val="24"/>
        </w:rPr>
        <w:t>.</w:t>
      </w:r>
      <w:r w:rsidRPr="005534D7">
        <w:rPr>
          <w:rFonts w:ascii="Times New Roman" w:hAnsi="Times New Roman" w:cs="Times New Roman"/>
          <w:sz w:val="24"/>
          <w:szCs w:val="24"/>
        </w:rPr>
        <w:t xml:space="preserve"> </w:t>
      </w:r>
      <w:proofErr w:type="spellStart"/>
      <w:r w:rsidRPr="005534D7">
        <w:rPr>
          <w:rFonts w:ascii="Times New Roman" w:hAnsi="Times New Roman" w:cs="Times New Roman"/>
          <w:sz w:val="24"/>
          <w:szCs w:val="24"/>
        </w:rPr>
        <w:t>Micr</w:t>
      </w:r>
      <w:r w:rsidR="00E9418C" w:rsidRPr="005534D7">
        <w:rPr>
          <w:rFonts w:ascii="Times New Roman" w:hAnsi="Times New Roman" w:cs="Times New Roman"/>
          <w:sz w:val="24"/>
          <w:szCs w:val="24"/>
        </w:rPr>
        <w:t>ocy</w:t>
      </w:r>
      <w:r w:rsidRPr="005534D7">
        <w:rPr>
          <w:rFonts w:ascii="Times New Roman" w:hAnsi="Times New Roman" w:cs="Times New Roman"/>
          <w:sz w:val="24"/>
          <w:szCs w:val="24"/>
        </w:rPr>
        <w:t>stin</w:t>
      </w:r>
      <w:proofErr w:type="spellEnd"/>
      <w:r w:rsidRPr="005534D7">
        <w:rPr>
          <w:rFonts w:ascii="Times New Roman" w:hAnsi="Times New Roman" w:cs="Times New Roman"/>
          <w:sz w:val="24"/>
          <w:szCs w:val="24"/>
        </w:rPr>
        <w:t xml:space="preserve"> is the toxin that the </w:t>
      </w:r>
      <w:r w:rsidR="00FB07B0" w:rsidRPr="005534D7">
        <w:rPr>
          <w:rFonts w:ascii="Times New Roman" w:hAnsi="Times New Roman" w:cs="Times New Roman"/>
          <w:sz w:val="24"/>
          <w:szCs w:val="24"/>
        </w:rPr>
        <w:t>cyanobacteria</w:t>
      </w:r>
      <w:r w:rsidRPr="005534D7">
        <w:rPr>
          <w:rFonts w:ascii="Times New Roman" w:hAnsi="Times New Roman" w:cs="Times New Roman"/>
          <w:sz w:val="24"/>
          <w:szCs w:val="24"/>
        </w:rPr>
        <w:t xml:space="preserve"> bloom produced in Lake Erie in August 2014, causing 500,000 people to be without water in Toledo, Ohio, which draws its drinking water from the lake. </w:t>
      </w:r>
      <w:r w:rsidR="00FB07B0" w:rsidRPr="005534D7">
        <w:rPr>
          <w:rFonts w:ascii="Times New Roman" w:hAnsi="Times New Roman" w:cs="Times New Roman"/>
          <w:sz w:val="24"/>
          <w:szCs w:val="24"/>
        </w:rPr>
        <w:t>Even touching water when the concentrations of these toxins is high can be dangerous, and pets have died from swimming in the water.</w:t>
      </w:r>
    </w:p>
    <w:p w14:paraId="32D731B4" w14:textId="4D12ED2F" w:rsidR="00FB07B0" w:rsidRPr="005534D7" w:rsidRDefault="00FB07B0" w:rsidP="0017413F">
      <w:pPr>
        <w:pStyle w:val="ListParagraph"/>
        <w:numPr>
          <w:ilvl w:val="0"/>
          <w:numId w:val="20"/>
        </w:numPr>
        <w:spacing w:line="240" w:lineRule="auto"/>
        <w:rPr>
          <w:rFonts w:ascii="Times New Roman" w:hAnsi="Times New Roman" w:cs="Times New Roman"/>
          <w:sz w:val="24"/>
          <w:szCs w:val="24"/>
        </w:rPr>
      </w:pPr>
      <w:r w:rsidRPr="005534D7">
        <w:rPr>
          <w:rFonts w:ascii="Times New Roman" w:hAnsi="Times New Roman" w:cs="Times New Roman"/>
          <w:sz w:val="24"/>
          <w:szCs w:val="24"/>
        </w:rPr>
        <w:t xml:space="preserve">Decomposition of dead algal blooms consumes oxygen from the water, creating anoxic environments that can kill organisms like fish and benthic invertebrates. </w:t>
      </w:r>
    </w:p>
    <w:p w14:paraId="346A395E" w14:textId="37277E8D" w:rsidR="00FB07B0" w:rsidRPr="005534D7" w:rsidRDefault="00FB07B0" w:rsidP="0017413F">
      <w:pPr>
        <w:pStyle w:val="ListParagraph"/>
        <w:numPr>
          <w:ilvl w:val="0"/>
          <w:numId w:val="20"/>
        </w:numPr>
        <w:spacing w:line="240" w:lineRule="auto"/>
        <w:rPr>
          <w:rFonts w:ascii="Times New Roman" w:hAnsi="Times New Roman" w:cs="Times New Roman"/>
          <w:sz w:val="24"/>
          <w:szCs w:val="24"/>
        </w:rPr>
      </w:pPr>
      <w:r w:rsidRPr="005534D7">
        <w:rPr>
          <w:rFonts w:ascii="Times New Roman" w:hAnsi="Times New Roman" w:cs="Times New Roman"/>
          <w:sz w:val="24"/>
          <w:szCs w:val="24"/>
        </w:rPr>
        <w:t>Nutrient inputs are also associated with oceanic dead zones, which are caused by the decomposition of algae blooms. In this case, nitrogen is generally the main culprit. Inflow</w:t>
      </w:r>
      <w:r w:rsidR="005534D7">
        <w:rPr>
          <w:rFonts w:ascii="Times New Roman" w:hAnsi="Times New Roman" w:cs="Times New Roman"/>
          <w:sz w:val="24"/>
          <w:szCs w:val="24"/>
        </w:rPr>
        <w:t>ing</w:t>
      </w:r>
      <w:r w:rsidRPr="005534D7">
        <w:rPr>
          <w:rFonts w:ascii="Times New Roman" w:hAnsi="Times New Roman" w:cs="Times New Roman"/>
          <w:sz w:val="24"/>
          <w:szCs w:val="24"/>
        </w:rPr>
        <w:t xml:space="preserve"> fresh river water is less dense than salt water, depositing the nitrogen-rich water right near the surface sunlight where algae can grow rapidly. </w:t>
      </w:r>
    </w:p>
    <w:p w14:paraId="745737CE" w14:textId="2E1ACB06" w:rsidR="00FB07B0" w:rsidRPr="005534D7" w:rsidRDefault="00FB07B0" w:rsidP="0017413F">
      <w:pPr>
        <w:pStyle w:val="ListParagraph"/>
        <w:numPr>
          <w:ilvl w:val="0"/>
          <w:numId w:val="20"/>
        </w:numPr>
        <w:spacing w:line="240" w:lineRule="auto"/>
        <w:rPr>
          <w:rFonts w:ascii="Times New Roman" w:hAnsi="Times New Roman" w:cs="Times New Roman"/>
          <w:sz w:val="24"/>
          <w:szCs w:val="24"/>
        </w:rPr>
      </w:pPr>
      <w:r w:rsidRPr="005534D7">
        <w:rPr>
          <w:rFonts w:ascii="Times New Roman" w:hAnsi="Times New Roman" w:cs="Times New Roman"/>
          <w:sz w:val="24"/>
          <w:szCs w:val="24"/>
        </w:rPr>
        <w:lastRenderedPageBreak/>
        <w:t>The most well-known dead zone is the Gulf of Mexico. There are many social and economic consequences to this dead zone, as i</w:t>
      </w:r>
      <w:r w:rsidR="000155AC" w:rsidRPr="005534D7">
        <w:rPr>
          <w:rFonts w:ascii="Times New Roman" w:hAnsi="Times New Roman" w:cs="Times New Roman"/>
          <w:sz w:val="24"/>
          <w:szCs w:val="24"/>
        </w:rPr>
        <w:t xml:space="preserve">t has impacts on fishing. There are many other locations around the world </w:t>
      </w:r>
      <w:r w:rsidR="00286861" w:rsidRPr="005534D7">
        <w:rPr>
          <w:rFonts w:ascii="Times New Roman" w:hAnsi="Times New Roman" w:cs="Times New Roman"/>
          <w:sz w:val="24"/>
          <w:szCs w:val="24"/>
        </w:rPr>
        <w:t xml:space="preserve">where impaired rivers enter the ocean and create dead zones. </w:t>
      </w:r>
    </w:p>
    <w:p w14:paraId="7BC53EB4" w14:textId="77777777" w:rsidR="003015EA" w:rsidRDefault="003015EA" w:rsidP="00B90592">
      <w:pPr>
        <w:spacing w:line="240" w:lineRule="auto"/>
        <w:rPr>
          <w:rFonts w:ascii="Times New Roman" w:hAnsi="Times New Roman" w:cs="Times New Roman"/>
          <w:sz w:val="24"/>
          <w:szCs w:val="24"/>
        </w:rPr>
      </w:pPr>
    </w:p>
    <w:p w14:paraId="012EC796" w14:textId="351DB0C4" w:rsidR="005534D7" w:rsidRPr="0017413F" w:rsidRDefault="005534D7" w:rsidP="0017413F">
      <w:pPr>
        <w:pStyle w:val="ListParagraph"/>
        <w:numPr>
          <w:ilvl w:val="0"/>
          <w:numId w:val="21"/>
        </w:numPr>
        <w:spacing w:line="240" w:lineRule="auto"/>
        <w:rPr>
          <w:rFonts w:ascii="Times New Roman" w:hAnsi="Times New Roman" w:cs="Times New Roman"/>
          <w:sz w:val="24"/>
          <w:szCs w:val="24"/>
        </w:rPr>
      </w:pPr>
      <w:r w:rsidRPr="0017413F">
        <w:rPr>
          <w:rFonts w:ascii="Times New Roman" w:hAnsi="Times New Roman" w:cs="Times New Roman"/>
          <w:sz w:val="24"/>
          <w:szCs w:val="24"/>
        </w:rPr>
        <w:t xml:space="preserve">The concept of nutrient loading – this set of slides asks student to think about what is really required to understand how much of a nutrient is moving down a stream. One cannot just think about the concentration of a nutrient, but also the volume of water moving down the stream (discharge). </w:t>
      </w:r>
      <w:r w:rsidRPr="0017413F">
        <w:rPr>
          <w:rFonts w:ascii="Times New Roman" w:hAnsi="Times New Roman" w:cs="Times New Roman"/>
          <w:i/>
          <w:sz w:val="24"/>
          <w:szCs w:val="24"/>
        </w:rPr>
        <w:t>This is a great set of slides to pose to students and have them discuss (think-pair-share). I</w:t>
      </w:r>
      <w:r w:rsidRPr="0017413F">
        <w:rPr>
          <w:rFonts w:ascii="Times New Roman" w:hAnsi="Times New Roman" w:cs="Times New Roman"/>
          <w:sz w:val="24"/>
          <w:szCs w:val="24"/>
        </w:rPr>
        <w:t xml:space="preserve">deally, they will identify the concept of load as well as the mathematics behind it by themselves. </w:t>
      </w:r>
    </w:p>
    <w:p w14:paraId="59037866" w14:textId="77777777" w:rsidR="003015EA" w:rsidRDefault="003015EA" w:rsidP="00B90592">
      <w:pPr>
        <w:spacing w:line="240" w:lineRule="auto"/>
        <w:rPr>
          <w:rFonts w:ascii="Times New Roman" w:hAnsi="Times New Roman" w:cs="Times New Roman"/>
          <w:sz w:val="24"/>
          <w:szCs w:val="24"/>
        </w:rPr>
      </w:pPr>
    </w:p>
    <w:p w14:paraId="1BF2CE29" w14:textId="3AF3E2CA" w:rsidR="003D66DA" w:rsidRPr="0017413F" w:rsidRDefault="005534D7" w:rsidP="0017413F">
      <w:pPr>
        <w:pStyle w:val="ListParagraph"/>
        <w:numPr>
          <w:ilvl w:val="0"/>
          <w:numId w:val="21"/>
        </w:numPr>
        <w:spacing w:line="240" w:lineRule="auto"/>
        <w:rPr>
          <w:rFonts w:ascii="Times New Roman" w:hAnsi="Times New Roman" w:cs="Times New Roman"/>
          <w:sz w:val="24"/>
          <w:szCs w:val="24"/>
        </w:rPr>
      </w:pPr>
      <w:r w:rsidRPr="0017413F">
        <w:rPr>
          <w:rFonts w:ascii="Times New Roman" w:hAnsi="Times New Roman" w:cs="Times New Roman"/>
          <w:sz w:val="24"/>
          <w:szCs w:val="24"/>
        </w:rPr>
        <w:t xml:space="preserve">The final set of slides moves more directly into management and some of the activities at the beginning of the module. Load is used for management purposes, and students will have to use 303(d) lists in the module. </w:t>
      </w:r>
    </w:p>
    <w:p w14:paraId="73433195" w14:textId="77777777" w:rsidR="005534D7" w:rsidRDefault="005534D7" w:rsidP="00B90592">
      <w:pPr>
        <w:spacing w:line="240" w:lineRule="auto"/>
        <w:rPr>
          <w:rFonts w:ascii="Times New Roman" w:hAnsi="Times New Roman" w:cs="Times New Roman"/>
          <w:sz w:val="24"/>
          <w:szCs w:val="24"/>
        </w:rPr>
      </w:pPr>
    </w:p>
    <w:p w14:paraId="73D20515" w14:textId="0A2B48A7" w:rsidR="005534D7" w:rsidRPr="0017413F" w:rsidRDefault="005534D7" w:rsidP="0017413F">
      <w:pPr>
        <w:spacing w:line="240" w:lineRule="auto"/>
        <w:rPr>
          <w:rFonts w:ascii="Times New Roman" w:hAnsi="Times New Roman" w:cs="Times New Roman"/>
          <w:sz w:val="24"/>
          <w:szCs w:val="24"/>
        </w:rPr>
      </w:pPr>
      <w:r w:rsidRPr="0017413F">
        <w:rPr>
          <w:rFonts w:ascii="Times New Roman" w:hAnsi="Times New Roman" w:cs="Times New Roman"/>
          <w:sz w:val="24"/>
          <w:szCs w:val="24"/>
        </w:rPr>
        <w:t>At this point, t</w:t>
      </w:r>
      <w:bookmarkStart w:id="0" w:name="_GoBack"/>
      <w:bookmarkEnd w:id="0"/>
      <w:r w:rsidRPr="0017413F">
        <w:rPr>
          <w:rFonts w:ascii="Times New Roman" w:hAnsi="Times New Roman" w:cs="Times New Roman"/>
          <w:sz w:val="24"/>
          <w:szCs w:val="24"/>
        </w:rPr>
        <w:t xml:space="preserve">he students can then begin working on the module. </w:t>
      </w:r>
    </w:p>
    <w:sectPr w:rsidR="005534D7" w:rsidRPr="0017413F">
      <w:footerReference w:type="even" r:id="rId26"/>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3EE669" w14:textId="77777777" w:rsidR="008F13CC" w:rsidRDefault="008F13CC" w:rsidP="00C86EC5">
      <w:pPr>
        <w:spacing w:line="240" w:lineRule="auto"/>
      </w:pPr>
      <w:r>
        <w:separator/>
      </w:r>
    </w:p>
  </w:endnote>
  <w:endnote w:type="continuationSeparator" w:id="0">
    <w:p w14:paraId="773524AD" w14:textId="77777777" w:rsidR="008F13CC" w:rsidRDefault="008F13CC" w:rsidP="00C86E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BD303" w14:textId="77777777" w:rsidR="00C86EC5" w:rsidRDefault="00C86EC5" w:rsidP="007A755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7B02D7" w14:textId="77777777" w:rsidR="00C86EC5" w:rsidRDefault="00C86EC5" w:rsidP="00C86EC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C318FB" w14:textId="77777777" w:rsidR="00C86EC5" w:rsidRPr="00C86EC5" w:rsidRDefault="00C86EC5" w:rsidP="007A7554">
    <w:pPr>
      <w:pStyle w:val="Footer"/>
      <w:framePr w:wrap="none" w:vAnchor="text" w:hAnchor="margin" w:xAlign="right" w:y="1"/>
      <w:rPr>
        <w:rStyle w:val="PageNumber"/>
        <w:rFonts w:ascii="Times New Roman" w:hAnsi="Times New Roman" w:cs="Times New Roman"/>
        <w:sz w:val="20"/>
        <w:szCs w:val="20"/>
      </w:rPr>
    </w:pPr>
    <w:r w:rsidRPr="00C86EC5">
      <w:rPr>
        <w:rStyle w:val="PageNumber"/>
        <w:rFonts w:ascii="Times New Roman" w:hAnsi="Times New Roman" w:cs="Times New Roman"/>
        <w:sz w:val="20"/>
        <w:szCs w:val="20"/>
      </w:rPr>
      <w:fldChar w:fldCharType="begin"/>
    </w:r>
    <w:r w:rsidRPr="00C86EC5">
      <w:rPr>
        <w:rStyle w:val="PageNumber"/>
        <w:rFonts w:ascii="Times New Roman" w:hAnsi="Times New Roman" w:cs="Times New Roman"/>
        <w:sz w:val="20"/>
        <w:szCs w:val="20"/>
      </w:rPr>
      <w:instrText xml:space="preserve">PAGE  </w:instrText>
    </w:r>
    <w:r w:rsidRPr="00C86EC5">
      <w:rPr>
        <w:rStyle w:val="PageNumber"/>
        <w:rFonts w:ascii="Times New Roman" w:hAnsi="Times New Roman" w:cs="Times New Roman"/>
        <w:sz w:val="20"/>
        <w:szCs w:val="20"/>
      </w:rPr>
      <w:fldChar w:fldCharType="separate"/>
    </w:r>
    <w:r w:rsidR="0017413F">
      <w:rPr>
        <w:rStyle w:val="PageNumber"/>
        <w:rFonts w:ascii="Times New Roman" w:hAnsi="Times New Roman" w:cs="Times New Roman"/>
        <w:noProof/>
        <w:sz w:val="20"/>
        <w:szCs w:val="20"/>
      </w:rPr>
      <w:t>5</w:t>
    </w:r>
    <w:r w:rsidRPr="00C86EC5">
      <w:rPr>
        <w:rStyle w:val="PageNumber"/>
        <w:rFonts w:ascii="Times New Roman" w:hAnsi="Times New Roman" w:cs="Times New Roman"/>
        <w:sz w:val="20"/>
        <w:szCs w:val="20"/>
      </w:rPr>
      <w:fldChar w:fldCharType="end"/>
    </w:r>
  </w:p>
  <w:p w14:paraId="5AA24799" w14:textId="77777777" w:rsidR="00C86EC5" w:rsidRDefault="00C86EC5" w:rsidP="00C86EC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F7EBBD" w14:textId="77777777" w:rsidR="008F13CC" w:rsidRDefault="008F13CC" w:rsidP="00C86EC5">
      <w:pPr>
        <w:spacing w:line="240" w:lineRule="auto"/>
      </w:pPr>
      <w:r>
        <w:separator/>
      </w:r>
    </w:p>
  </w:footnote>
  <w:footnote w:type="continuationSeparator" w:id="0">
    <w:p w14:paraId="09014C6F" w14:textId="77777777" w:rsidR="008F13CC" w:rsidRDefault="008F13CC" w:rsidP="00C86EC5">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80840"/>
    <w:multiLevelType w:val="hybridMultilevel"/>
    <w:tmpl w:val="3EEA06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BB3CCE"/>
    <w:multiLevelType w:val="hybridMultilevel"/>
    <w:tmpl w:val="D868C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537F49"/>
    <w:multiLevelType w:val="hybridMultilevel"/>
    <w:tmpl w:val="CA64EB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E5B89"/>
    <w:multiLevelType w:val="hybridMultilevel"/>
    <w:tmpl w:val="9E5CD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484E9E"/>
    <w:multiLevelType w:val="hybridMultilevel"/>
    <w:tmpl w:val="9526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AC15E3"/>
    <w:multiLevelType w:val="hybridMultilevel"/>
    <w:tmpl w:val="AD484E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853472"/>
    <w:multiLevelType w:val="hybridMultilevel"/>
    <w:tmpl w:val="74069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3E2D70"/>
    <w:multiLevelType w:val="multilevel"/>
    <w:tmpl w:val="ADA4FF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18861E6"/>
    <w:multiLevelType w:val="multilevel"/>
    <w:tmpl w:val="03CC1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8E396C"/>
    <w:multiLevelType w:val="hybridMultilevel"/>
    <w:tmpl w:val="1B0C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660C75"/>
    <w:multiLevelType w:val="hybridMultilevel"/>
    <w:tmpl w:val="28EA26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56900D4"/>
    <w:multiLevelType w:val="hybridMultilevel"/>
    <w:tmpl w:val="FC0E58E0"/>
    <w:lvl w:ilvl="0" w:tplc="E7DA2760">
      <w:start w:val="2"/>
      <w:numFmt w:val="lowerLetter"/>
      <w:lvlText w:val="%1."/>
      <w:lvlJc w:val="left"/>
      <w:pPr>
        <w:tabs>
          <w:tab w:val="num" w:pos="720"/>
        </w:tabs>
        <w:ind w:left="720" w:hanging="360"/>
      </w:pPr>
    </w:lvl>
    <w:lvl w:ilvl="1" w:tplc="19EA67C0" w:tentative="1">
      <w:start w:val="1"/>
      <w:numFmt w:val="decimal"/>
      <w:lvlText w:val="%2."/>
      <w:lvlJc w:val="left"/>
      <w:pPr>
        <w:tabs>
          <w:tab w:val="num" w:pos="1440"/>
        </w:tabs>
        <w:ind w:left="1440" w:hanging="360"/>
      </w:pPr>
    </w:lvl>
    <w:lvl w:ilvl="2" w:tplc="D2709BFE" w:tentative="1">
      <w:start w:val="1"/>
      <w:numFmt w:val="decimal"/>
      <w:lvlText w:val="%3."/>
      <w:lvlJc w:val="left"/>
      <w:pPr>
        <w:tabs>
          <w:tab w:val="num" w:pos="2160"/>
        </w:tabs>
        <w:ind w:left="2160" w:hanging="360"/>
      </w:pPr>
    </w:lvl>
    <w:lvl w:ilvl="3" w:tplc="D37AAAF4" w:tentative="1">
      <w:start w:val="1"/>
      <w:numFmt w:val="decimal"/>
      <w:lvlText w:val="%4."/>
      <w:lvlJc w:val="left"/>
      <w:pPr>
        <w:tabs>
          <w:tab w:val="num" w:pos="2880"/>
        </w:tabs>
        <w:ind w:left="2880" w:hanging="360"/>
      </w:pPr>
    </w:lvl>
    <w:lvl w:ilvl="4" w:tplc="E2AA16CE" w:tentative="1">
      <w:start w:val="1"/>
      <w:numFmt w:val="decimal"/>
      <w:lvlText w:val="%5."/>
      <w:lvlJc w:val="left"/>
      <w:pPr>
        <w:tabs>
          <w:tab w:val="num" w:pos="3600"/>
        </w:tabs>
        <w:ind w:left="3600" w:hanging="360"/>
      </w:pPr>
    </w:lvl>
    <w:lvl w:ilvl="5" w:tplc="59F6939A" w:tentative="1">
      <w:start w:val="1"/>
      <w:numFmt w:val="decimal"/>
      <w:lvlText w:val="%6."/>
      <w:lvlJc w:val="left"/>
      <w:pPr>
        <w:tabs>
          <w:tab w:val="num" w:pos="4320"/>
        </w:tabs>
        <w:ind w:left="4320" w:hanging="360"/>
      </w:pPr>
    </w:lvl>
    <w:lvl w:ilvl="6" w:tplc="E08A8D0E" w:tentative="1">
      <w:start w:val="1"/>
      <w:numFmt w:val="decimal"/>
      <w:lvlText w:val="%7."/>
      <w:lvlJc w:val="left"/>
      <w:pPr>
        <w:tabs>
          <w:tab w:val="num" w:pos="5040"/>
        </w:tabs>
        <w:ind w:left="5040" w:hanging="360"/>
      </w:pPr>
    </w:lvl>
    <w:lvl w:ilvl="7" w:tplc="F384BD92" w:tentative="1">
      <w:start w:val="1"/>
      <w:numFmt w:val="decimal"/>
      <w:lvlText w:val="%8."/>
      <w:lvlJc w:val="left"/>
      <w:pPr>
        <w:tabs>
          <w:tab w:val="num" w:pos="5760"/>
        </w:tabs>
        <w:ind w:left="5760" w:hanging="360"/>
      </w:pPr>
    </w:lvl>
    <w:lvl w:ilvl="8" w:tplc="40E0387A" w:tentative="1">
      <w:start w:val="1"/>
      <w:numFmt w:val="decimal"/>
      <w:lvlText w:val="%9."/>
      <w:lvlJc w:val="left"/>
      <w:pPr>
        <w:tabs>
          <w:tab w:val="num" w:pos="6480"/>
        </w:tabs>
        <w:ind w:left="6480" w:hanging="360"/>
      </w:pPr>
    </w:lvl>
  </w:abstractNum>
  <w:abstractNum w:abstractNumId="12">
    <w:nsid w:val="4EE85360"/>
    <w:multiLevelType w:val="hybridMultilevel"/>
    <w:tmpl w:val="9BD2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2F7FFD"/>
    <w:multiLevelType w:val="multilevel"/>
    <w:tmpl w:val="A9581A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9845C58"/>
    <w:multiLevelType w:val="hybridMultilevel"/>
    <w:tmpl w:val="2580ECA4"/>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897072"/>
    <w:multiLevelType w:val="hybridMultilevel"/>
    <w:tmpl w:val="0E505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796EE0"/>
    <w:multiLevelType w:val="hybridMultilevel"/>
    <w:tmpl w:val="AEEC2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4E5FA3"/>
    <w:multiLevelType w:val="hybridMultilevel"/>
    <w:tmpl w:val="981CEFA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2756825"/>
    <w:multiLevelType w:val="multilevel"/>
    <w:tmpl w:val="53B6D6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FE20138"/>
    <w:multiLevelType w:val="hybridMultilevel"/>
    <w:tmpl w:val="35E635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E165C09"/>
    <w:multiLevelType w:val="hybridMultilevel"/>
    <w:tmpl w:val="FBCA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7"/>
  </w:num>
  <w:num w:numId="4">
    <w:abstractNumId w:val="5"/>
  </w:num>
  <w:num w:numId="5">
    <w:abstractNumId w:val="6"/>
  </w:num>
  <w:num w:numId="6">
    <w:abstractNumId w:val="8"/>
    <w:lvlOverride w:ilvl="0">
      <w:lvl w:ilvl="0">
        <w:numFmt w:val="lowerLetter"/>
        <w:lvlText w:val="%1."/>
        <w:lvlJc w:val="left"/>
      </w:lvl>
    </w:lvlOverride>
  </w:num>
  <w:num w:numId="7">
    <w:abstractNumId w:val="11"/>
  </w:num>
  <w:num w:numId="8">
    <w:abstractNumId w:val="1"/>
  </w:num>
  <w:num w:numId="9">
    <w:abstractNumId w:val="4"/>
  </w:num>
  <w:num w:numId="10">
    <w:abstractNumId w:val="3"/>
  </w:num>
  <w:num w:numId="11">
    <w:abstractNumId w:val="20"/>
  </w:num>
  <w:num w:numId="12">
    <w:abstractNumId w:val="12"/>
  </w:num>
  <w:num w:numId="13">
    <w:abstractNumId w:val="14"/>
  </w:num>
  <w:num w:numId="14">
    <w:abstractNumId w:val="2"/>
  </w:num>
  <w:num w:numId="15">
    <w:abstractNumId w:val="0"/>
  </w:num>
  <w:num w:numId="16">
    <w:abstractNumId w:val="10"/>
  </w:num>
  <w:num w:numId="17">
    <w:abstractNumId w:val="9"/>
  </w:num>
  <w:num w:numId="18">
    <w:abstractNumId w:val="19"/>
  </w:num>
  <w:num w:numId="19">
    <w:abstractNumId w:val="16"/>
  </w:num>
  <w:num w:numId="20">
    <w:abstractNumId w:val="17"/>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D66DA"/>
    <w:rsid w:val="000155AC"/>
    <w:rsid w:val="00070C92"/>
    <w:rsid w:val="00087E58"/>
    <w:rsid w:val="000F16CF"/>
    <w:rsid w:val="00131170"/>
    <w:rsid w:val="0017413F"/>
    <w:rsid w:val="001B2605"/>
    <w:rsid w:val="001B456F"/>
    <w:rsid w:val="00286861"/>
    <w:rsid w:val="002E27F3"/>
    <w:rsid w:val="003015EA"/>
    <w:rsid w:val="0033663B"/>
    <w:rsid w:val="003D6094"/>
    <w:rsid w:val="003D66DA"/>
    <w:rsid w:val="00423D71"/>
    <w:rsid w:val="004365EC"/>
    <w:rsid w:val="004719E2"/>
    <w:rsid w:val="004E4976"/>
    <w:rsid w:val="004F53E1"/>
    <w:rsid w:val="005534D7"/>
    <w:rsid w:val="00560D46"/>
    <w:rsid w:val="005B4CF4"/>
    <w:rsid w:val="00673376"/>
    <w:rsid w:val="006A0123"/>
    <w:rsid w:val="007056E9"/>
    <w:rsid w:val="00725504"/>
    <w:rsid w:val="0077610D"/>
    <w:rsid w:val="0077675A"/>
    <w:rsid w:val="007A3D9E"/>
    <w:rsid w:val="008018E7"/>
    <w:rsid w:val="00845449"/>
    <w:rsid w:val="00857481"/>
    <w:rsid w:val="0087063D"/>
    <w:rsid w:val="00870A2A"/>
    <w:rsid w:val="008E4814"/>
    <w:rsid w:val="008F13CC"/>
    <w:rsid w:val="009705D4"/>
    <w:rsid w:val="00981A85"/>
    <w:rsid w:val="0098788E"/>
    <w:rsid w:val="009E7D0B"/>
    <w:rsid w:val="00A3041C"/>
    <w:rsid w:val="00B55064"/>
    <w:rsid w:val="00B73D01"/>
    <w:rsid w:val="00B75397"/>
    <w:rsid w:val="00B90592"/>
    <w:rsid w:val="00BF7064"/>
    <w:rsid w:val="00C31E49"/>
    <w:rsid w:val="00C371B9"/>
    <w:rsid w:val="00C86EC5"/>
    <w:rsid w:val="00CF0B9A"/>
    <w:rsid w:val="00E07F6C"/>
    <w:rsid w:val="00E3424C"/>
    <w:rsid w:val="00E9418C"/>
    <w:rsid w:val="00ED4DF4"/>
    <w:rsid w:val="00EF30B5"/>
    <w:rsid w:val="00FB07B0"/>
    <w:rsid w:val="00FC11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39E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77675A"/>
    <w:pPr>
      <w:ind w:left="720"/>
      <w:contextualSpacing/>
    </w:pPr>
  </w:style>
  <w:style w:type="character" w:styleId="Hyperlink">
    <w:name w:val="Hyperlink"/>
    <w:basedOn w:val="DefaultParagraphFont"/>
    <w:rsid w:val="00B90592"/>
    <w:rPr>
      <w:color w:val="0000FF" w:themeColor="hyperlink"/>
      <w:u w:val="single"/>
    </w:rPr>
  </w:style>
  <w:style w:type="table" w:styleId="TableGrid">
    <w:name w:val="Table Grid"/>
    <w:basedOn w:val="TableNormal"/>
    <w:rsid w:val="00B90592"/>
    <w:pPr>
      <w:spacing w:line="240" w:lineRule="auto"/>
    </w:pPr>
    <w:rPr>
      <w:rFonts w:asciiTheme="minorHAnsi" w:eastAsiaTheme="minorEastAsia" w:hAnsiTheme="minorHAnsi" w:cstheme="minorBidi"/>
      <w:color w:val="auto"/>
      <w:sz w:val="24"/>
      <w:szCs w:val="24"/>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90592"/>
    <w:pPr>
      <w:spacing w:before="100" w:beforeAutospacing="1" w:after="100" w:afterAutospacing="1" w:line="240" w:lineRule="auto"/>
    </w:pPr>
    <w:rPr>
      <w:rFonts w:ascii="Times New Roman" w:hAnsi="Times New Roman" w:cs="Times New Roman"/>
      <w:color w:val="auto"/>
      <w:sz w:val="24"/>
      <w:szCs w:val="24"/>
    </w:rPr>
  </w:style>
  <w:style w:type="character" w:customStyle="1" w:styleId="apple-tab-span">
    <w:name w:val="apple-tab-span"/>
    <w:basedOn w:val="DefaultParagraphFont"/>
    <w:rsid w:val="00B90592"/>
  </w:style>
  <w:style w:type="paragraph" w:styleId="Header">
    <w:name w:val="header"/>
    <w:basedOn w:val="Normal"/>
    <w:link w:val="HeaderChar"/>
    <w:uiPriority w:val="99"/>
    <w:unhideWhenUsed/>
    <w:rsid w:val="00C86EC5"/>
    <w:pPr>
      <w:tabs>
        <w:tab w:val="center" w:pos="4680"/>
        <w:tab w:val="right" w:pos="9360"/>
      </w:tabs>
      <w:spacing w:line="240" w:lineRule="auto"/>
    </w:pPr>
  </w:style>
  <w:style w:type="character" w:customStyle="1" w:styleId="HeaderChar">
    <w:name w:val="Header Char"/>
    <w:basedOn w:val="DefaultParagraphFont"/>
    <w:link w:val="Header"/>
    <w:uiPriority w:val="99"/>
    <w:rsid w:val="00C86EC5"/>
  </w:style>
  <w:style w:type="paragraph" w:styleId="Footer">
    <w:name w:val="footer"/>
    <w:basedOn w:val="Normal"/>
    <w:link w:val="FooterChar"/>
    <w:uiPriority w:val="99"/>
    <w:unhideWhenUsed/>
    <w:rsid w:val="00C86EC5"/>
    <w:pPr>
      <w:tabs>
        <w:tab w:val="center" w:pos="4680"/>
        <w:tab w:val="right" w:pos="9360"/>
      </w:tabs>
      <w:spacing w:line="240" w:lineRule="auto"/>
    </w:pPr>
  </w:style>
  <w:style w:type="character" w:customStyle="1" w:styleId="FooterChar">
    <w:name w:val="Footer Char"/>
    <w:basedOn w:val="DefaultParagraphFont"/>
    <w:link w:val="Footer"/>
    <w:uiPriority w:val="99"/>
    <w:rsid w:val="00C86EC5"/>
  </w:style>
  <w:style w:type="character" w:styleId="PageNumber">
    <w:name w:val="page number"/>
    <w:basedOn w:val="DefaultParagraphFont"/>
    <w:uiPriority w:val="99"/>
    <w:semiHidden/>
    <w:unhideWhenUsed/>
    <w:rsid w:val="00C86EC5"/>
  </w:style>
  <w:style w:type="character" w:styleId="FollowedHyperlink">
    <w:name w:val="FollowedHyperlink"/>
    <w:basedOn w:val="DefaultParagraphFont"/>
    <w:uiPriority w:val="99"/>
    <w:semiHidden/>
    <w:unhideWhenUsed/>
    <w:rsid w:val="00C86E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32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hyperlink" Target="http://water.epa.gov/lawsregs/lawsguidance/cwa/tmdl/overviewoftmdl.cfm" TargetMode="External"/><Relationship Id="rId21" Type="http://schemas.openxmlformats.org/officeDocument/2006/relationships/hyperlink" Target="http://water.epa.gov/scitech/swguidance/standards/criteria/current/index.cfm" TargetMode="External"/><Relationship Id="rId22" Type="http://schemas.openxmlformats.org/officeDocument/2006/relationships/hyperlink" Target="http://water.epa.gov/drink/contaminants/index.cfm" TargetMode="External"/><Relationship Id="rId23" Type="http://schemas.openxmlformats.org/officeDocument/2006/relationships/hyperlink" Target="http://www2.epa.gov/nutrientpollution" TargetMode="External"/><Relationship Id="rId24" Type="http://schemas.openxmlformats.org/officeDocument/2006/relationships/hyperlink" Target="http://www.cbf.org/about-the-bay/issues/dead-zones/nitrogen-phosphorus" TargetMode="External"/><Relationship Id="rId25" Type="http://schemas.openxmlformats.org/officeDocument/2006/relationships/hyperlink" Target="http://water.epa.gov/type/watersheds/named/msbasin/hypoxia101.cfm" TargetMode="Externa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yperlink" Target="http://cemast.illinoisstate.edu/data-for-students/modules/nutreint-loading.shtml" TargetMode="External"/><Relationship Id="rId13" Type="http://schemas.openxmlformats.org/officeDocument/2006/relationships/hyperlink" Target="https://www.nytimes.com/2014/08/05/us/lifting-ban-toledo-says-its-water-is-safe-to-drink-again.html" TargetMode="External"/><Relationship Id="rId14" Type="http://schemas.openxmlformats.org/officeDocument/2006/relationships/hyperlink" Target="https://www.nytimes.com/2014/08/07/science/cyanobacteria-are-far-from-just-toledos-problem.html" TargetMode="External"/><Relationship Id="rId15" Type="http://schemas.openxmlformats.org/officeDocument/2006/relationships/hyperlink" Target="https://www.scientificamerican.com/article/dead-zone-pollutant-grows-despite-decades-work/" TargetMode="External"/><Relationship Id="rId16" Type="http://schemas.openxmlformats.org/officeDocument/2006/relationships/hyperlink" Target="https://ks.water.usgs.gov/pubs/fact-sheets/fs.135-00.pdf" TargetMode="External"/><Relationship Id="rId17" Type="http://schemas.openxmlformats.org/officeDocument/2006/relationships/hyperlink" Target="http://www.livescience.com/29571-pollution-algae-mar-once-beautiful-lake.html" TargetMode="External"/><Relationship Id="rId18" Type="http://schemas.openxmlformats.org/officeDocument/2006/relationships/hyperlink" Target="http://e360.yale.edu/features/on_lake_taihu_china_moves_to_battle_massive_algae_blooms" TargetMode="External"/><Relationship Id="rId19" Type="http://schemas.openxmlformats.org/officeDocument/2006/relationships/hyperlink" Target="http://water.epa.gov/lawsregs/lawsguidance/cwa/tmdl/overview.cf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3DABEF-8A6F-ED4C-A999-36C31B3CB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2403</Words>
  <Characters>13698</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tmeixner</dc:creator>
  <cp:lastModifiedBy>O'Reilly, Catherine</cp:lastModifiedBy>
  <cp:revision>21</cp:revision>
  <dcterms:created xsi:type="dcterms:W3CDTF">2016-08-16T22:12:00Z</dcterms:created>
  <dcterms:modified xsi:type="dcterms:W3CDTF">2017-03-26T23:36:00Z</dcterms:modified>
</cp:coreProperties>
</file>