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88.png" ContentType="image/png"/>
  <Override PartName="/word/media/rId84.png" ContentType="image/png"/>
  <Override PartName="/word/media/rId76.png" ContentType="image/png"/>
  <Override PartName="/word/media/rId93.png" ContentType="image/png"/>
  <Override PartName="/word/media/rId68.png" ContentType="image/png"/>
  <Override PartName="/word/media/rId32.png" ContentType="image/png"/>
  <Override PartName="/word/media/rId120.png" ContentType="image/png"/>
  <Override PartName="/word/media/rId126.png" ContentType="image/png"/>
  <Override PartName="/word/media/rId131.png" ContentType="image/png"/>
  <Override PartName="/word/media/rId103.png" ContentType="image/png"/>
  <Override PartName="/word/media/rId109.png" ContentType="image/png"/>
  <Override PartName="/word/media/rId115.png" ContentType="image/png"/>
  <Override PartName="/word/media/rId54.png" ContentType="image/png"/>
  <Override PartName="/word/media/rId80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0"/>
          <w:numId w:val="1001"/>
        </w:numPr>
      </w:pPr>
      <w:r>
        <w:t xml:space="preserve">How to design a well-organized project</w:t>
      </w:r>
    </w:p>
    <w:p>
      <w:pPr>
        <w:pStyle w:val="Compact"/>
        <w:numPr>
          <w:ilvl w:val="0"/>
          <w:numId w:val="1001"/>
        </w:numPr>
      </w:pPr>
      <w:r>
        <w:t xml:space="preserve">How to implement good naming conventions</w:t>
      </w:r>
    </w:p>
    <w:p>
      <w:pPr>
        <w:pStyle w:val="Compact"/>
        <w:numPr>
          <w:ilvl w:val="1"/>
          <w:numId w:val="1002"/>
        </w:numPr>
      </w:pPr>
      <w:r>
        <w:t xml:space="preserve">Controlled vocabulary</w:t>
      </w:r>
    </w:p>
    <w:p>
      <w:pPr>
        <w:pStyle w:val="Compact"/>
        <w:numPr>
          <w:ilvl w:val="1"/>
          <w:numId w:val="1002"/>
        </w:numPr>
      </w:pPr>
      <w:r>
        <w:t xml:space="preserve">Including units in names</w:t>
      </w:r>
    </w:p>
    <w:p>
      <w:pPr>
        <w:pStyle w:val="Compact"/>
        <w:numPr>
          <w:ilvl w:val="0"/>
          <w:numId w:val="1001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1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1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1"/>
        </w:numPr>
      </w:pPr>
      <w:r>
        <w:t xml:space="preserve">Create effective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BodyText"/>
      </w:pPr>
      <w:r>
        <w:t xml:space="preserve">TGW - yep its a thing</w:t>
      </w:r>
    </w:p>
    <w:p>
      <w:pPr>
        <w:pStyle w:val="BodyText"/>
      </w:pPr>
      <w:r>
        <w:t xml:space="preserve">ODO - what do you think it is?</w:t>
      </w:r>
    </w:p>
    <w:p>
      <w:pPr>
        <w:pStyle w:val="BodyText"/>
      </w:pPr>
      <w:r>
        <w:t xml:space="preserve">NO3 - what is it? Are you sure? Why might you get in legal trouble if you used this?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3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3"/>
        </w:numPr>
      </w:pPr>
      <w:r>
        <w:t xml:space="preserve">Distinguish between different types of biological variables</w:t>
      </w:r>
    </w:p>
    <w:p>
      <w:pPr>
        <w:pStyle w:val="Compact"/>
        <w:numPr>
          <w:ilvl w:val="0"/>
          <w:numId w:val="1003"/>
        </w:numPr>
      </w:pPr>
      <w:r>
        <w:t xml:space="preserve">Learn about accuracy, precision, and bias in measurements</w:t>
      </w:r>
    </w:p>
    <w:p>
      <w:pPr>
        <w:pStyle w:val="Compact"/>
        <w:numPr>
          <w:ilvl w:val="0"/>
          <w:numId w:val="1003"/>
        </w:numPr>
      </w:pPr>
      <w:r>
        <w:t xml:space="preserve">Calculate and interpret measures of central tendency (mean, median, geometric mean)</w:t>
      </w:r>
    </w:p>
    <w:p>
      <w:pPr>
        <w:pStyle w:val="Compact"/>
        <w:numPr>
          <w:ilvl w:val="0"/>
          <w:numId w:val="1003"/>
        </w:numPr>
      </w:pPr>
      <w:r>
        <w:t xml:space="preserve">Calculate and interpret measures of spread (standard deviation, variance, IQR)</w:t>
      </w:r>
    </w:p>
    <w:p>
      <w:pPr>
        <w:pStyle w:val="Compact"/>
        <w:numPr>
          <w:ilvl w:val="0"/>
          <w:numId w:val="1003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3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3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fish from two different lakes to explore these concepts..</w:t>
      </w:r>
    </w:p>
    <w:p>
      <w:pPr>
        <w:pStyle w:val="BodyText"/>
      </w:pPr>
      <w:r>
        <w:drawing>
          <wp:inline>
            <wp:extent cx="2381250" cy="1714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 in that:</w:t>
      </w:r>
    </w:p>
    <w:p>
      <w:pPr>
        <w:pStyle w:val="Compact"/>
        <w:numPr>
          <w:ilvl w:val="0"/>
          <w:numId w:val="1004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05"/>
        </w:numPr>
      </w:pPr>
      <w:r>
        <w:t xml:space="preserve">Responses occur with some characteristic probability, not with certainty</w:t>
      </w:r>
    </w:p>
    <w:p>
      <w:pPr>
        <w:pStyle w:val="Compact"/>
        <w:numPr>
          <w:ilvl w:val="0"/>
          <w:numId w:val="1004"/>
        </w:numPr>
      </w:pPr>
      <w:r>
        <w:t xml:space="preserve">All biological material varies, which is essential for evolution (recall Darwin’s postulates):</w:t>
      </w:r>
    </w:p>
    <w:p>
      <w:pPr>
        <w:pStyle w:val="Compact"/>
        <w:numPr>
          <w:ilvl w:val="1"/>
          <w:numId w:val="1006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06"/>
        </w:numPr>
      </w:pPr>
      <w:r>
        <w:t xml:space="preserve">Some variation is heritable</w:t>
      </w:r>
    </w:p>
    <w:p>
      <w:pPr>
        <w:pStyle w:val="Compact"/>
        <w:numPr>
          <w:ilvl w:val="1"/>
          <w:numId w:val="1006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04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04"/>
        </w:numPr>
      </w:pPr>
      <w:r>
        <w:t xml:space="preserve">Measurements include error</w:t>
      </w:r>
    </w:p>
    <w:p>
      <w:pPr>
        <w:pStyle w:val="Compact"/>
        <w:numPr>
          <w:ilvl w:val="0"/>
          <w:numId w:val="1004"/>
        </w:numPr>
      </w:pPr>
      <w:r>
        <w:t xml:space="preserve">Multiple unmeasured causal factors influence nearly all biological systems</w:t>
      </w:r>
    </w:p>
    <w:p>
      <w:pPr>
        <w:pStyle w:val="FirstParagraph"/>
      </w:pPr>
      <w:r>
        <w:t xml:space="preserve">Statistics helps us understand biological processes in this variable world by:</w:t>
      </w:r>
    </w:p>
    <w:p>
      <w:pPr>
        <w:pStyle w:val="Compact"/>
        <w:numPr>
          <w:ilvl w:val="0"/>
          <w:numId w:val="1007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07"/>
        </w:numPr>
      </w:pPr>
      <w:r>
        <w:t xml:space="preserve">Testing whether observations are consistent with predictions (Inferential statistics)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practice-exercise-1-pine-data-analysis"/>
    <w:p>
      <w:pPr>
        <w:pStyle w:val="Heading1"/>
      </w:pPr>
      <w:r>
        <w:t xml:space="preserve">Practice Exercise 1: Pine Data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recreate the basic histogram of fish lengths from our last class. Use the</w:t>
            </w:r>
            <w:r>
              <w:t xml:space="preserve"> </w:t>
            </w:r>
            <w:r>
              <w:rPr>
                <w:rStyle w:val="VerbatimChar"/>
              </w:rPr>
              <w:t xml:space="preserve">sculpin_df</w:t>
            </w:r>
            <w:r>
              <w:t xml:space="preserve"> </w:t>
            </w:r>
            <w:r>
              <w:t xml:space="preserve">data frame that’s already loaded.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39"/>
    <w:bookmarkStart w:id="42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 fundamental concepts: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Population</w:t>
      </w:r>
      <w:r>
        <w:t xml:space="preserve">: The entire group of things under consideration; the group for which answers obtained from measurements and statistical analysis are pertinent.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Sample</w:t>
      </w:r>
      <w:r>
        <w:t xml:space="preserve">: A subset of the population that is actually measured.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Sample unit</w:t>
      </w:r>
      <w:r>
        <w:t xml:space="preserve">: The individual thing drawn from the population.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Observational population</w:t>
      </w:r>
      <w:r>
        <w:t xml:space="preserve">: Usually finite but may be very large (e.g., head width of all corn earworms in a field)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Experimental population</w:t>
      </w:r>
      <w:r>
        <w:t xml:space="preserve">: Often conceptually infinite (e.g., all possible goldenrod plants that could receive a specific fertilizer treatment)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 what is present in the population.</w:t>
      </w:r>
    </w:p>
    <w:p>
      <w:pPr>
        <w:pStyle w:val="Compact"/>
        <w:numPr>
          <w:ilvl w:val="0"/>
          <w:numId w:val="1010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pop_sample_sta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Parameters</w:t>
      </w:r>
      <w:r>
        <w:t xml:space="preserve">: True numerical values for a population (usually denoted by Greek letters)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 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2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2"/>
        </w:numPr>
      </w:pPr>
      <w:r>
        <w:t xml:space="preserve">Population standard deviation (σ) is estimated by sample standard deviation (s)</w:t>
      </w:r>
    </w:p>
    <w:p>
      <w:pPr>
        <w:pStyle w:val="FirstParagraph"/>
      </w:pPr>
      <w:r>
        <w:t xml:space="preserve">The standard deviation formula above includes n-1 in the denominator (rather than n) to provide an unbiased estimate of the population parameter.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op_sample_sta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p>
      <w:pPr>
        <w:pStyle w:val="FirstParagraph"/>
      </w:pPr>
      <w:r>
        <w:t xml:space="preserve">Understanding the type of variable you’re working with is essential for selecting appropriate statistics:</w:t>
      </w:r>
    </w:p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Continuous</w:t>
      </w:r>
      <w:r>
        <w:t xml:space="preserve">: Any value between extremes of scale is possible (e.g., mass, length)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Discrete (meristic)</w:t>
      </w:r>
      <w:r>
        <w:t xml:space="preserve">: Only fixed values (usually integers) 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4"/>
        </w:numPr>
      </w:pPr>
      <w:r>
        <w:t xml:space="preserve">Assign only order, not quantity</w:t>
      </w:r>
    </w:p>
    <w:p>
      <w:pPr>
        <w:pStyle w:val="Compact"/>
        <w:numPr>
          <w:ilvl w:val="0"/>
          <w:numId w:val="1014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5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5"/>
        </w:numPr>
      </w:pPr>
      <w:r>
        <w:t xml:space="preserve">Some are simplifications of quantitative variables (e.g., color instead of wavelength)</w:t>
      </w:r>
    </w:p>
    <w:bookmarkEnd w:id="48"/>
    <w:bookmarkEnd w:id="49"/>
    <w:bookmarkStart w:id="50" w:name="lecture-3-derived-variables"/>
    <w:p>
      <w:pPr>
        <w:pStyle w:val="Heading1"/>
      </w:pPr>
      <w:r>
        <w:t xml:space="preserve">Lecture 3: Derived Variables</w:t>
      </w:r>
    </w:p>
    <w:p>
      <w:pPr>
        <w:pStyle w:val="FirstParagraph"/>
      </w:pPr>
      <w:r>
        <w:t xml:space="preserve">Derived Variables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fish dataset and identify the types of variables it contains.</w:t>
      </w:r>
    </w:p>
    <w:bookmarkEnd w:id="50"/>
    <w:bookmarkStart w:id="53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3"/>
    <w:bookmarkStart w:id="57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t xml:space="preserve">When taking biological measurements, understanding measurement quality is essential: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Precision</w:t>
      </w:r>
      <w:r>
        <w:t xml:space="preserve">: Closeness of repeated measurements to each other (repeatability)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t xml:space="preserve">Accuracy is a function of both precision and bias. For statisticians, bias is usually a more serious problem than low precision because:</w:t>
      </w:r>
    </w:p>
    <w:p>
      <w:pPr>
        <w:numPr>
          <w:ilvl w:val="0"/>
          <w:numId w:val="1018"/>
        </w:numPr>
      </w:pPr>
      <w:r>
        <w:t xml:space="preserve">It’s harder to detect (true value usually unknown)</w:t>
      </w:r>
    </w:p>
    <w:p>
      <w:pPr>
        <w:numPr>
          <w:ilvl w:val="0"/>
          <w:numId w:val="1018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105632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0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pine needles or fish?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 include: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Variations in how fish are measured (e.g., slightly bent fish)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Systematic underestimation of length if measurements aren’t taken from the true tip of the snout to the end of the tail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Accuracy issues? what could they be?</w:t>
            </w:r>
          </w:p>
        </w:tc>
      </w:tr>
    </w:tbl>
    <w:bookmarkEnd w:id="60"/>
    <w:bookmarkStart w:id="62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 measurements:</w:t>
      </w:r>
    </w:p>
    <w:bookmarkStart w:id="61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22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numPr>
          <w:ilvl w:val="0"/>
          <w:numId w:val="1022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1"/>
    <w:p>
      <w:pPr>
        <w:pStyle w:val="SourceCode"/>
      </w:pPr>
      <w:r>
        <w:rPr>
          <w:rStyle w:val="VerbatimChar"/>
        </w:rPr>
        <w:t xml:space="preserve">Mean length of all fish: 324.5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</w:tr>
    </w:tbl>
    <w:bookmarkEnd w:id="62"/>
    <w:bookmarkStart w:id="63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3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3"/>
        </w:numPr>
      </w:pPr>
      <w:r>
        <w:t xml:space="preserve">If there is an even number of observations, it’s the average of the two middle values.</w:t>
      </w:r>
    </w:p>
    <w:p>
      <w:pPr>
        <w:pStyle w:val="SourceCode"/>
      </w:pPr>
      <w:r>
        <w:rPr>
          <w:rStyle w:val="VerbatimChar"/>
        </w:rPr>
        <w:t xml:space="preserve">Median length of all fish: 324.5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373</w:t>
            </w:r>
          </w:p>
        </w:tc>
      </w:tr>
    </w:tbl>
    <w:bookmarkEnd w:id="63"/>
    <w:bookmarkStart w:id="67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4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4"/>
    <w:bookmarkStart w:id="65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4"/>
        </w:numPr>
      </w:pPr>
      <w:r>
        <w:t xml:space="preserve">measures how far observations typically are from the mean and are in the units of the mean:</w:t>
      </w:r>
    </w:p>
    <w:bookmarkEnd w:id="65"/>
    <w:bookmarkStart w:id="66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6"/>
    <w:p>
      <w:pPr>
        <w:pStyle w:val="SourceCode"/>
      </w:pPr>
      <w:r>
        <w:rPr>
          <w:rStyle w:val="VerbatimChar"/>
        </w:rPr>
        <w:t xml:space="preserve">Variance of length: 4225.9 mm²</w:t>
      </w:r>
    </w:p>
    <w:p>
      <w:pPr>
        <w:pStyle w:val="SourceCode"/>
      </w:pPr>
      <w:r>
        <w:rPr>
          <w:rStyle w:val="VerbatimChar"/>
        </w:rPr>
        <w:t xml:space="preserve">Standard deviation of length: 65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801.104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2,739.371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</w:tr>
    </w:tbl>
    <w:bookmarkEnd w:id="67"/>
    <w:bookmarkStart w:id="71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 Standard deviations on each side includes about 95% of the data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</w:p>
    <w:p>
      <w:pPr>
        <w:pStyle w:val="SourceCode"/>
      </w:pPr>
      <w:r>
        <w:rPr>
          <w:rStyle w:val="VerbatimChar"/>
        </w:rPr>
        <w:t xml:space="preserve">Number of fish: 66 </w:t>
      </w:r>
    </w:p>
    <w:p>
      <w:pPr>
        <w:pStyle w:val="SourceCode"/>
      </w:pPr>
      <w:r>
        <w:rPr>
          <w:rStyle w:val="VerbatimChar"/>
        </w:rPr>
        <w:t xml:space="preserve">Mean length: 265.61 mm</w:t>
      </w:r>
    </w:p>
    <w:p>
      <w:pPr>
        <w:pStyle w:val="SourceCode"/>
      </w:pPr>
      <w:r>
        <w:rPr>
          <w:rStyle w:val="VerbatimChar"/>
        </w:rPr>
        <w:t xml:space="preserve">Standard Deviation: 28.3 mm</w:t>
      </w:r>
    </w:p>
    <w:p>
      <w:pPr>
        <w:pStyle w:val="SourceCode"/>
      </w:pPr>
      <w:r>
        <w:rPr>
          <w:rStyle w:val="VerbatimChar"/>
        </w:rPr>
        <w:t xml:space="preserve">Range for ±2 SD: 209 to 322.21 mm</w:t>
      </w:r>
    </w:p>
    <w:p>
      <w:pPr>
        <w:pStyle w:val="SourceCode"/>
      </w:pPr>
      <w:r>
        <w:rPr>
          <w:rStyle w:val="VerbatimChar"/>
        </w:rPr>
        <w:t xml:space="preserve">Percentage within ±2 SD: 90.91 %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3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 percentage of the mean:</w:t>
      </w:r>
    </w:p>
    <w:bookmarkStart w:id="72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 different units or vastly different scales.</w:t>
      </w:r>
    </w:p>
    <w:bookmarkEnd w:id="72"/>
    <w:p>
      <w:pPr>
        <w:pStyle w:val="SourceCode"/>
      </w:pPr>
      <w:r>
        <w:rPr>
          <w:rStyle w:val="VerbatimChar"/>
        </w:rPr>
        <w:t xml:space="preserve">Coefficient of variation: 10.7 %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10.65630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14.43444</w:t>
            </w:r>
          </w:p>
        </w:tc>
      </w:tr>
    </w:tbl>
    <w:bookmarkEnd w:id="73"/>
    <w:bookmarkStart w:id="74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 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</w:tbl>
    <w:bookmarkEnd w:id="74"/>
    <w:bookmarkStart w:id="79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 arithmetic mean less representative of central tendency. Data transformations can help address this issue.</w:t>
      </w:r>
    </w:p>
    <w:bookmarkStart w:id="75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 right-skewed biological data:</w:t>
      </w:r>
    </w:p>
    <w:p>
      <w:pPr>
        <w:pStyle w:val="BodyText"/>
      </w:pPr>
      <w:r>
        <w:t xml:space="preserve">When data are log-normally distributed, the geometric mean often provides a better measure of central tendency than the arithmetic mean.</w:t>
      </w:r>
    </w:p>
    <w:bookmarkEnd w:id="75"/>
    <w:p>
      <w:pPr>
        <w:pStyle w:val="BodyText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</w:p>
    <w:p>
      <w:pPr>
        <w:pStyle w:val="SourceCode"/>
      </w:pPr>
      <w:r>
        <w:rPr>
          <w:rStyle w:val="VerbatimChar"/>
        </w:rPr>
        <w:t xml:space="preserve">Geometric mean (back-transformed mean of logs): NA mm</w:t>
      </w:r>
    </w:p>
    <w:bookmarkEnd w:id="79"/>
    <w:bookmarkStart w:id="83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Log transformation</w:t>
      </w:r>
      <w:r>
        <w:t xml:space="preserve">: When data are right-skewed or follow multiplicative rather than additive processes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 root transformation</w:t>
      </w:r>
      <w:r>
        <w:t xml:space="preserve">: For count data or data where variance increases with the mean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Arcsine square root transformation</w:t>
      </w:r>
      <w:r>
        <w:t xml:space="preserve">: For proportions or percentages (though logistic regression is often preferred now)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308628452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 it’s skewed or has outliers, they can differ significantly.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-0.8826195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-1.0909961</w:t>
            </w:r>
          </w:p>
        </w:tc>
      </w:tr>
    </w:tbl>
    <w:bookmarkEnd w:id="92"/>
    <w:bookmarkStart w:id="96" w:name="lecture-3-density-plot---mean-vs.-median"/>
    <w:p>
      <w:pPr>
        <w:pStyle w:val="Heading1"/>
      </w:pPr>
      <w:r>
        <w:t xml:space="preserve">Lecture 3: Density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 it’s skewed or has outliers, they can differ significantly.</w:t>
      </w:r>
    </w:p>
    <w:p>
      <w:pPr>
        <w:pStyle w:val="BodyText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 deviation.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4"/>
        <w:gridCol w:w="961"/>
        <w:gridCol w:w="961"/>
        <w:gridCol w:w="1560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ratio_iqr_sd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</w:tr>
    </w:tbl>
    <w:bookmarkEnd w:id="97"/>
    <w:bookmarkStart w:id="98" w:name="lecture-3-understanding-percentiles"/>
    <w:p>
      <w:pPr>
        <w:pStyle w:val="Heading1"/>
      </w:pPr>
      <w:r>
        <w:t xml:space="preserve">Lecture 3: Understanding Percentiles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BodyText"/>
      </w:pPr>
      <w:r>
        <w:t xml:space="preserve">The 25th percentile is the first quartile (Q1)</w:t>
      </w:r>
    </w:p>
    <w:p>
      <w:pPr>
        <w:pStyle w:val="BodyText"/>
      </w:pPr>
      <w:r>
        <w:t xml:space="preserve">The 50th percentile is the median</w:t>
      </w:r>
    </w:p>
    <w:p>
      <w:pPr>
        <w:pStyle w:val="BodyText"/>
      </w:pPr>
      <w:r>
        <w:t xml:space="preserve">The 75th percentile is the third quartile (Q3)</w:t>
      </w:r>
    </w:p>
    <w:p>
      <w:pPr>
        <w:pStyle w:val="BodyText"/>
      </w:pPr>
      <w:r>
        <w:t xml:space="preserve">The IQR is the difference between Q3 and Q1.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973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10th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251.1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25th (Q1)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270.8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50th (Median)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324.5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75th (Q3)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377.0</w:t>
            </w:r>
          </w:p>
        </w:tc>
      </w:tr>
      <w:tr>
        <w:trPr>
          <w:trHeight w:val="573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408.6</w:t>
            </w:r>
          </w:p>
        </w:tc>
      </w:tr>
    </w:tbl>
    <w:bookmarkEnd w:id="98"/>
    <w:bookmarkStart w:id="9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 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</w:p>
    <w:p>
      <w:pPr>
        <w:pStyle w:val="SourceCode"/>
      </w:pPr>
      <w:r>
        <w:rPr>
          <w:rStyle w:val="VerbatimChar"/>
        </w:rPr>
        <w:t xml:space="preserve">Mean mass with na.rm=TRUE: 351.2289 g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4"/>
        <w:gridCol w:w="1609"/>
        <w:gridCol w:w="1780"/>
        <w:gridCol w:w="1291"/>
        <w:gridCol w:w="1401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n_missing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bookmarkEnd w:id="99"/>
    <w:bookmarkStart w:id="10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numPr>
          <w:ilvl w:val="0"/>
          <w:numId w:val="1026"/>
        </w:numPr>
      </w:pPr>
      <w:r>
        <w:t xml:space="preserve">Always check for missing values in your data before calculating statistics.</w:t>
      </w:r>
    </w:p>
    <w:p>
      <w:pPr>
        <w:numPr>
          <w:ilvl w:val="0"/>
          <w:numId w:val="1026"/>
        </w:numPr>
      </w:pPr>
      <w:r>
        <w:t xml:space="preserve">Use na.rm = TRUE when calculating summary statistics to handle missing values.</w:t>
      </w:r>
    </w:p>
    <w:p>
      <w:pPr>
        <w:numPr>
          <w:ilvl w:val="0"/>
          <w:numId w:val="1026"/>
        </w:numPr>
      </w:pPr>
      <w:r>
        <w:t xml:space="preserve">Report the number of missing values along with your statistics.</w:t>
      </w:r>
    </w:p>
    <w:p>
      <w:pPr>
        <w:numPr>
          <w:ilvl w:val="0"/>
          <w:numId w:val="1026"/>
        </w:numPr>
      </w:pPr>
      <w:r>
        <w:t xml:space="preserve">Consider whether the missing values are random or might introduce bias.</w:t>
      </w:r>
    </w:p>
    <w:bookmarkEnd w:id="100"/>
    <w:bookmarkStart w:id="10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 population</w:t>
      </w:r>
    </w:p>
    <w:p>
      <w:pPr>
        <w:pStyle w:val="BodyText"/>
      </w:pPr>
      <w:r>
        <w:t xml:space="preserve">In reality, we rarely know the true population parameters. When studying fish in lakes I3 and I8: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27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27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27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27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 give different estimates.</w:t>
      </w:r>
    </w:p>
    <w:p>
      <w:pPr>
        <w:pStyle w:val="BodyText"/>
      </w:pPr>
      <w:r>
        <w:t xml:space="preserve">If we could sample all fish in the lake, we would know the true mean length. But that’s usually impossible in ecology!</w:t>
      </w:r>
    </w:p>
    <w:bookmarkEnd w:id="101"/>
    <w:bookmarkStart w:id="10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 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2"/>
    <w:bookmarkStart w:id="10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SourceCode"/>
      </w:pPr>
      <w:r>
        <w:rPr>
          <w:rStyle w:val="CommentTok"/>
        </w:rPr>
        <w:t xml:space="preserve"># Display the sample means</w:t>
      </w:r>
      <w:r>
        <w:br/>
      </w:r>
      <w:r>
        <w:rPr>
          <w:rStyle w:val="NormalTok"/>
        </w:rPr>
        <w:t xml:space="preserve">samples_df</w:t>
      </w:r>
    </w:p>
    <w:p>
      <w:pPr>
        <w:pStyle w:val="SourceCode"/>
      </w:pPr>
      <w:r>
        <w:rPr>
          <w:rStyle w:val="VerbatimChar"/>
        </w:rPr>
        <w:t xml:space="preserve">   sample_number sample_mean</w:t>
      </w:r>
      <w:r>
        <w:br/>
      </w:r>
      <w:r>
        <w:rPr>
          <w:rStyle w:val="VerbatimChar"/>
        </w:rPr>
        <w:t xml:space="preserve">1              1    269.9333</w:t>
      </w:r>
      <w:r>
        <w:br/>
      </w:r>
      <w:r>
        <w:rPr>
          <w:rStyle w:val="VerbatimChar"/>
        </w:rPr>
        <w:t xml:space="preserve">2              2    260.6000</w:t>
      </w:r>
      <w:r>
        <w:br/>
      </w:r>
      <w:r>
        <w:rPr>
          <w:rStyle w:val="VerbatimChar"/>
        </w:rPr>
        <w:t xml:space="preserve">3              3    255.2000</w:t>
      </w:r>
      <w:r>
        <w:br/>
      </w:r>
      <w:r>
        <w:rPr>
          <w:rStyle w:val="VerbatimChar"/>
        </w:rPr>
        <w:t xml:space="preserve">4              4    263.4000</w:t>
      </w:r>
      <w:r>
        <w:br/>
      </w:r>
      <w:r>
        <w:rPr>
          <w:rStyle w:val="VerbatimChar"/>
        </w:rPr>
        <w:t xml:space="preserve">5              5    275.3333</w:t>
      </w:r>
      <w:r>
        <w:br/>
      </w:r>
      <w:r>
        <w:rPr>
          <w:rStyle w:val="VerbatimChar"/>
        </w:rPr>
        <w:t xml:space="preserve">6              6    279.2667</w:t>
      </w:r>
      <w:r>
        <w:br/>
      </w:r>
      <w:r>
        <w:rPr>
          <w:rStyle w:val="VerbatimChar"/>
        </w:rPr>
        <w:t xml:space="preserve">7              7    263.7333</w:t>
      </w:r>
      <w:r>
        <w:br/>
      </w:r>
      <w:r>
        <w:rPr>
          <w:rStyle w:val="VerbatimChar"/>
        </w:rPr>
        <w:t xml:space="preserve">8              8    273.6000</w:t>
      </w:r>
      <w:r>
        <w:br/>
      </w:r>
      <w:r>
        <w:rPr>
          <w:rStyle w:val="VerbatimChar"/>
        </w:rPr>
        <w:t xml:space="preserve">9              9    264.8000</w:t>
      </w:r>
      <w:r>
        <w:br/>
      </w:r>
      <w:r>
        <w:rPr>
          <w:rStyle w:val="VerbatimChar"/>
        </w:rPr>
        <w:t xml:space="preserve">10            10    269.8667</w:t>
      </w:r>
    </w:p>
    <w:p>
      <w:pPr>
        <w:pStyle w:val="SourceCode"/>
      </w:pPr>
      <w:r>
        <w:rPr>
          <w:rStyle w:val="CommentTok"/>
        </w:rPr>
        <w:t xml:space="preserve"># Calculate the mean and standard deviation of the sample means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(sample_means)</w:t>
      </w:r>
    </w:p>
    <w:p>
      <w:pPr>
        <w:pStyle w:val="SourceCode"/>
      </w:pPr>
      <w:r>
        <w:rPr>
          <w:rStyle w:val="VerbatimChar"/>
        </w:rPr>
        <w:t xml:space="preserve">[1] 267.5733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(sample_means)</w:t>
      </w:r>
    </w:p>
    <w:p>
      <w:pPr>
        <w:pStyle w:val="SourceCode"/>
      </w:pPr>
      <w:r>
        <w:rPr>
          <w:rStyle w:val="VerbatimChar"/>
        </w:rPr>
        <w:t xml:space="preserve">[1] 7.346063</w:t>
      </w:r>
    </w:p>
    <w:p>
      <w:pPr>
        <w:pStyle w:val="SourceCode"/>
      </w:pPr>
      <w:r>
        <w:rPr>
          <w:rStyle w:val="CommentTok"/>
        </w:rPr>
        <w:t xml:space="preserve"># Plot the different sample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(sample_number),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of 10 Random Samples from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Number"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 demonstrates sampling variation.</w:t>
      </w:r>
    </w:p>
    <w:bookmarkEnd w:id="106"/>
    <w:bookmarkStart w:id="10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 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 - s is the sample standard deviation - n is the sample size</w:t>
      </w:r>
    </w:p>
    <w:p>
      <w:pPr>
        <w:pStyle w:val="BodyText"/>
      </w:pPr>
      <w:r>
        <w:t xml:space="preserve">The standard error tells us: - How much uncertainty is in our estimate - How much sample means are expected to vary - How close our sample mean is likely to be to the true population mean</w:t>
      </w:r>
    </w:p>
    <w:p>
      <w:pPr>
        <w:pStyle w:val="BodyText"/>
      </w:pPr>
      <w:r>
        <w:rPr>
          <w:b/>
          <w:bCs/>
        </w:rPr>
        <w:t xml:space="preserve">Remember:</w:t>
      </w:r>
      <w:r>
        <w:t xml:space="preserve"> </w:t>
      </w:r>
      <w:r>
        <w:t xml:space="preserve">- Standard deviation (s) describes the variability in the individual data points - Standard error (SE) describes the variability in the sample mean itself - As sample size increases, SE decreases (more precise estimate)</w:t>
      </w:r>
    </w:p>
    <w:bookmarkEnd w:id="107"/>
    <w:bookmarkStart w:id="108" w:name="standard-error-for-our-grayling-data"/>
    <w:p>
      <w:pPr>
        <w:pStyle w:val="Heading1"/>
      </w:pPr>
      <w:r>
        <w:rPr>
          <w:b/>
          <w:bCs/>
        </w:rPr>
        <w:t xml:space="preserve">Standard Error for Our Grayling Data</w:t>
      </w:r>
    </w:p>
    <w:p>
      <w:pPr>
        <w:pStyle w:val="FirstParagraph"/>
      </w:pPr>
      <w:r>
        <w:t xml:space="preserve">Let’s calculate and visualize the standard error for both lakes: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108"/>
    <w:bookmarkStart w:id="112" w:name="visualizing-standard-error"/>
    <w:p>
      <w:pPr>
        <w:pStyle w:val="Heading1"/>
      </w:pPr>
      <w:r>
        <w:rPr>
          <w:b/>
          <w:bCs/>
        </w:rPr>
        <w:t xml:space="preserve">Visualizing Standard Error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7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 distribution of all possible sample means of a given sample size from a population.</w:t>
      </w:r>
    </w:p>
    <w:p>
      <w:pPr>
        <w:pStyle w:val="BodyText"/>
      </w:pPr>
      <w:r>
        <w:t xml:space="preserve">Important properties: 1. It is centered at the population mean (μ) 2. Its standard deviation is the standard error (σ/√n) 3. For large sample sizes, it approaches a normal distribution (Central Limit Theorem)</w:t>
      </w:r>
    </w:p>
    <w:p>
      <w:pPr>
        <w:pStyle w:val="BodyText"/>
      </w:pPr>
      <w:r>
        <w:t xml:space="preserve">The larger the sample size: - The narrower the sampling distribution - The smaller the standard error - The more precise our estimate of the population mean</w:t>
      </w:r>
    </w:p>
    <w:p>
      <w:pPr>
        <w:pStyle w:val="BodyText"/>
      </w:pPr>
      <w:r>
        <w:t xml:space="preserve">Let’s simulate the sampling distribution for Lake I3 fish data.</w:t>
      </w:r>
    </w:p>
    <w:bookmarkEnd w:id="113"/>
    <w:bookmarkStart w:id="114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 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</w:p>
    <w:bookmarkEnd w:id="114"/>
    <w:bookmarkStart w:id="118" w:name="plotting-sampling-distribution"/>
    <w:p>
      <w:pPr>
        <w:pStyle w:val="Heading1"/>
      </w:pPr>
      <w:r>
        <w:rPr>
          <w:b/>
          <w:bCs/>
        </w:rPr>
        <w:t xml:space="preserve">Plotting Sampling Distribution</w:t>
      </w:r>
    </w:p>
    <w:p>
      <w:pPr>
        <w:pStyle w:val="SourceCode"/>
      </w:pP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9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numPr>
          <w:ilvl w:val="0"/>
          <w:numId w:val="1028"/>
        </w:numPr>
      </w:pPr>
      <w:r>
        <w:t xml:space="preserve">Is approximately normally distributed</w:t>
      </w:r>
    </w:p>
    <w:p>
      <w:pPr>
        <w:numPr>
          <w:ilvl w:val="0"/>
          <w:numId w:val="1028"/>
        </w:numPr>
      </w:pPr>
      <w:r>
        <w:t xml:space="preserve">Is centered around the overall sample mean</w:t>
      </w:r>
    </w:p>
    <w:p>
      <w:pPr>
        <w:numPr>
          <w:ilvl w:val="0"/>
          <w:numId w:val="1028"/>
        </w:numPr>
      </w:pPr>
      <w:r>
        <w:t xml:space="preserve">Has a spread that is related to the standard error</w:t>
      </w:r>
    </w:p>
    <w:bookmarkEnd w:id="118"/>
    <w:bookmarkStart w:id="119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9"/>
    <w:bookmarkStart w:id="123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  sample_size empirical_se theoretical_se</w:t>
      </w:r>
      <w:r>
        <w:br/>
      </w:r>
      <w:r>
        <w:rPr>
          <w:rStyle w:val="VerbatimChar"/>
        </w:rPr>
        <w:t xml:space="preserve">1           5    12.349407      12.657835</w:t>
      </w:r>
      <w:r>
        <w:br/>
      </w:r>
      <w:r>
        <w:rPr>
          <w:rStyle w:val="VerbatimChar"/>
        </w:rPr>
        <w:t xml:space="preserve">2          10     8.178270       8.950441</w:t>
      </w:r>
      <w:r>
        <w:br/>
      </w:r>
      <w:r>
        <w:rPr>
          <w:rStyle w:val="VerbatimChar"/>
        </w:rPr>
        <w:t xml:space="preserve">3          20     5.558957       6.328918</w:t>
      </w:r>
      <w:r>
        <w:br/>
      </w:r>
      <w:r>
        <w:rPr>
          <w:rStyle w:val="VerbatimChar"/>
        </w:rPr>
        <w:t xml:space="preserve">4          30     3.792177       5.167540</w:t>
      </w:r>
      <w:r>
        <w:br/>
      </w:r>
      <w:r>
        <w:rPr>
          <w:rStyle w:val="VerbatimChar"/>
        </w:rPr>
        <w:t xml:space="preserve">5          50     2.099744       4.002759</w:t>
      </w:r>
    </w:p>
    <w:p>
      <w:pPr>
        <w:pStyle w:val="SourceCode"/>
      </w:pP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1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 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 - The interval extends 2 standard errors below and above the sample mean - About 95% of such intervals constructed from different samples would contain the true population mean</w:t>
      </w:r>
    </w:p>
    <w:p>
      <w:pPr>
        <w:pStyle w:val="BodyText"/>
      </w:pPr>
      <w:r>
        <w:t xml:space="preserve">Confidence intervals provide a way to express the precision of our estimates.</w:t>
      </w:r>
    </w:p>
    <w:bookmarkEnd w:id="124"/>
    <w:bookmarkStart w:id="125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 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5"/>
    <w:bookmarkStart w:id="129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3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0"/>
    <w:bookmarkStart w:id="134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 as an estimate of a population parameter</w:t>
      </w:r>
    </w:p>
    <w:p>
      <w:pPr>
        <w:pStyle w:val="Compact"/>
        <w:numPr>
          <w:ilvl w:val="0"/>
          <w:numId w:val="1029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 statistics that would be expected due to random sampling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 population parameter</w:t>
      </w:r>
    </w:p>
    <w:p>
      <w:pPr>
        <w:pStyle w:val="Compact"/>
        <w:numPr>
          <w:ilvl w:val="0"/>
          <w:numId w:val="1029"/>
        </w:numPr>
      </w:pPr>
      <w:r>
        <w:t xml:space="preserve">Larger sample sizes provide more precise estimates (narrower confidence intervals)</w:t>
      </w:r>
    </w:p>
    <w:p>
      <w:pPr>
        <w:pStyle w:val="Compact"/>
        <w:numPr>
          <w:ilvl w:val="0"/>
          <w:numId w:val="1029"/>
        </w:numPr>
      </w:pPr>
      <w:r>
        <w:t xml:space="preserve">When reporting results, always include a measure of precision (SE or</w:t>
      </w:r>
    </w:p>
    <w:bookmarkEnd w:id="135"/>
    <w:bookmarkStart w:id="136" w:name="for-further-practice"/>
    <w:p>
      <w:pPr>
        <w:pStyle w:val="Heading1"/>
      </w:pPr>
      <w:r>
        <w:rPr>
          <w:b/>
          <w:bCs/>
        </w:rPr>
        <w:t xml:space="preserve">For Further Practice</w:t>
      </w:r>
    </w:p>
    <w:p>
      <w:pPr>
        <w:pStyle w:val="Compact"/>
        <w:numPr>
          <w:ilvl w:val="0"/>
          <w:numId w:val="1031"/>
        </w:numPr>
      </w:pPr>
      <w:r>
        <w:t xml:space="preserve">Try calculating the standard error and confidence intervals for other variables in the dataset</w:t>
      </w:r>
    </w:p>
    <w:p>
      <w:pPr>
        <w:pStyle w:val="Compact"/>
        <w:numPr>
          <w:ilvl w:val="0"/>
          <w:numId w:val="1031"/>
        </w:numPr>
      </w:pPr>
      <w:r>
        <w:t xml:space="preserve">Experiment with different sample sizes to see how they affect the precision of estimates</w:t>
      </w:r>
    </w:p>
    <w:p>
      <w:pPr>
        <w:pStyle w:val="Compact"/>
        <w:numPr>
          <w:ilvl w:val="0"/>
          <w:numId w:val="1031"/>
        </w:numPr>
      </w:pPr>
      <w:r>
        <w:t xml:space="preserve">Compare the means of the two lakes using confidence intervals - do they overlap?</w:t>
      </w:r>
    </w:p>
    <w:p>
      <w:pPr>
        <w:pStyle w:val="Compact"/>
        <w:numPr>
          <w:ilvl w:val="0"/>
          <w:numId w:val="1031"/>
        </w:numPr>
      </w:pPr>
      <w:r>
        <w:t xml:space="preserve">Consider how these concepts extend to other statistics beyond the mean</w:t>
      </w:r>
    </w:p>
    <w:bookmarkEnd w:id="136"/>
    <w:bookmarkStart w:id="137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32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32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32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32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32"/>
        </w:numPr>
      </w:pPr>
      <w:r>
        <w:t xml:space="preserve">Measures of spread (standard deviation, variance, and interquartile range)</w:t>
      </w:r>
    </w:p>
    <w:p>
      <w:pPr>
        <w:pStyle w:val="Compact"/>
        <w:numPr>
          <w:ilvl w:val="0"/>
          <w:numId w:val="1032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32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32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 essential as we move forward to more complex statistical methods.</w:t>
      </w:r>
    </w:p>
    <w:bookmarkEnd w:id="13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93" Target="media/rId93.png" /><Relationship Type="http://schemas.openxmlformats.org/officeDocument/2006/relationships/image" Id="rId68" Target="media/rId68.png" /><Relationship Type="http://schemas.openxmlformats.org/officeDocument/2006/relationships/image" Id="rId32" Target="media/rId32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115" Target="media/rId115.png" /><Relationship Type="http://schemas.openxmlformats.org/officeDocument/2006/relationships/image" Id="rId54" Target="media/rId54.png" /><Relationship Type="http://schemas.openxmlformats.org/officeDocument/2006/relationships/image" Id="rId80" Target="media/rId80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2025-08-14T19:37:23Z</dcterms:created>
  <dcterms:modified xsi:type="dcterms:W3CDTF">2025-08-14T19:37:23Z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