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w:t>
      </w:r>
      <w:r>
        <w:t xml:space="preserve"> </w:t>
      </w:r>
      <w:r>
        <w:t xml:space="preserve">variables:</w:t>
      </w:r>
    </w:p>
    <w:p>
      <w:pPr>
        <w:pStyle w:val="Compact"/>
        <w:numPr>
          <w:ilvl w:val="0"/>
          <w:numId w:val="1001"/>
        </w:numPr>
      </w:pPr>
      <w:r>
        <w:t xml:space="preserve">treat: Urchin density treatment (Control, 66% Density, 33% Density,</w:t>
      </w:r>
      <w:r>
        <w:t xml:space="preserve"> </w:t>
      </w:r>
      <w:r>
        <w:t xml:space="preserve">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w:t>
      </w:r>
      <w:r>
        <w:t xml:space="preserve"> </w:t>
      </w:r>
      <w:r>
        <w:t xml:space="preserve">patch received only one treatment level. This is a hierarchical design</w:t>
      </w:r>
      <w:r>
        <w:t xml:space="preserve"> </w:t>
      </w:r>
      <w:r>
        <w:t xml:space="preserve">where the effect of patches must be considered within each treatment.</w:t>
      </w:r>
      <w:r>
        <w:t xml:space="preserve"> </w:t>
      </w:r>
      <w:r>
        <w:t xml:space="preserve">Following the approach used in Quinn &amp; Keough (2002), we’ll use a</w:t>
      </w:r>
      <w:r>
        <w:t xml:space="preserve"> </w:t>
      </w:r>
      <w:r>
        <w:t xml:space="preserve">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w:t>
      </w:r>
      <w:r>
        <w:t xml:space="preserve"> </w:t>
      </w:r>
      <w:r>
        <w:t xml:space="preserve">ANOVA (p = r format(p_treat, digits=3)), we can still examine the mean</w:t>
      </w:r>
      <w:r>
        <w:t xml:space="preserve"> </w:t>
      </w:r>
      <w:r>
        <w:t xml:space="preserve">differences between treatments to understand patterns in the data.</w:t>
      </w:r>
      <w:r>
        <w:t xml:space="preserve"> </w:t>
      </w:r>
      <w:r>
        <w:t xml:space="preserve">However, we should interpret these with caution given the lack of</w:t>
      </w:r>
      <w:r>
        <w:t xml:space="preserve"> </w:t>
      </w:r>
      <w:r>
        <w:t xml:space="preserve">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w:t>
            </w:r>
            <w:r>
              <w:t xml:space="preserve"> </w:t>
            </w:r>
            <w:r>
              <w:t xml:space="preserve">Control treatment (1.30%) appears considerably lower than for the</w:t>
            </w:r>
            <w:r>
              <w:t xml:space="preserve"> </w:t>
            </w:r>
            <w:r>
              <w:t xml:space="preserve">reduced urchin density treatments (66% Density: 21.55%, 33% Density:</w:t>
            </w:r>
            <w:r>
              <w:t xml:space="preserve"> </w:t>
            </w:r>
            <w:r>
              <w:t xml:space="preserve">19.00%, Removed: 39.20%). While the visual pattern suggests an inverse</w:t>
            </w:r>
            <w:r>
              <w:t xml:space="preserve"> </w:t>
            </w:r>
            <w:r>
              <w:t xml:space="preserve">relationship between urchin density and algae cover, with complete</w:t>
            </w:r>
            <w:r>
              <w:t xml:space="preserve"> </w:t>
            </w:r>
            <w:r>
              <w:t xml:space="preserve">removal showing the highest algae cover, the nested ANOVA showed that</w:t>
            </w:r>
            <w:r>
              <w:t xml:space="preserve"> </w:t>
            </w:r>
            <w:r>
              <w:t xml:space="preserve">these differences were not statistically significant at the α = 0.05</w:t>
            </w:r>
            <w:r>
              <w:t xml:space="preserve"> </w:t>
            </w:r>
            <w:r>
              <w:t xml:space="preserve">level (p = xxxx). The high variability among patches within treatments</w:t>
            </w:r>
            <w:r>
              <w:t xml:space="preserve"> </w:t>
            </w:r>
            <w:r>
              <w:t xml:space="preserve">likely contributed to the lack of statistical significance for the</w:t>
            </w:r>
            <w:r>
              <w:t xml:space="preserve"> </w:t>
            </w:r>
            <w:r>
              <w:t xml:space="preserve">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w:t>
      </w:r>
      <w:r>
        <w:t xml:space="preserve"> </w:t>
      </w:r>
      <w:r>
        <w:t xml:space="preserve">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(F = (xxxxx).</w:t>
            </w:r>
            <w:r>
              <w:t xml:space="preserve"> </w:t>
            </w:r>
            <w:r>
              <w:t xml:space="preserve">As noted by Quinn &amp; Keough (2002), there were</w:t>
            </w:r>
            <w:r>
              <w:t xml:space="preserve"> </w:t>
            </w:r>
            <w:r>
              <w:t xml:space="preserve">“large differences in</w:t>
            </w:r>
            <w:r>
              <w:t xml:space="preserve"> </w:t>
            </w:r>
            <w:r>
              <w:t xml:space="preserve">within-cell variances”</w:t>
            </w:r>
            <w:r>
              <w:t xml:space="preserve"> </w:t>
            </w:r>
            <w:r>
              <w:t xml:space="preserve">in this dataset, and transformations (including</w:t>
            </w:r>
            <w:r>
              <w:t xml:space="preserve"> </w:t>
            </w:r>
            <w:r>
              <w:t xml:space="preserve">arcsin) did not improve variance homogeneity. However, ANOVA is</w:t>
            </w:r>
            <w:r>
              <w:t xml:space="preserve"> </w:t>
            </w:r>
            <w:r>
              <w:t xml:space="preserve">generally robust to heteroscedasticity with balanced designs, which is</w:t>
            </w:r>
            <w:r>
              <w:t xml:space="preserve"> </w:t>
            </w:r>
            <w:r>
              <w:t xml:space="preserve">why they chose to analyze untransformed data. The residuals vs. fitted</w:t>
            </w:r>
            <w:r>
              <w:t xml:space="preserve"> </w:t>
            </w:r>
            <w:r>
              <w:t xml:space="preserve">plot also shows a pattern of increasing variance with increasing fitted</w:t>
            </w:r>
            <w:r>
              <w:t xml:space="preserve"> </w:t>
            </w:r>
            <w:r>
              <w:t xml:space="preserve">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(p &lt; 0.001). Surprisingly, the effect of</w:t>
            </w:r>
            <w:r>
              <w:t xml:space="preserve"> </w:t>
            </w:r>
            <w:r>
              <w:t xml:space="preserve">urchin density treatments on filamentous algae cover was not</w:t>
            </w:r>
            <w:r>
              <w:t xml:space="preserve"> </w:t>
            </w:r>
            <w:r>
              <w:t xml:space="preserve">statistically significant at the α = 0.05 level (p = 0.091), despite</w:t>
            </w:r>
            <w:r>
              <w:t xml:space="preserve"> </w:t>
            </w:r>
            <w:r>
              <w:t xml:space="preserve">apparent trends in the data. The descriptive statistics show a pattern</w:t>
            </w:r>
            <w:r>
              <w:t xml:space="preserve"> </w:t>
            </w:r>
            <w:r>
              <w:t xml:space="preserve">where algae cover appears to increase as urchin density decreases, with</w:t>
            </w:r>
            <w:r>
              <w:t xml:space="preserve"> </w:t>
            </w:r>
            <w:r>
              <w:t xml:space="preserve">the Control treatment (mean = 1.3%) showing minimal algae cover compared</w:t>
            </w:r>
            <w:r>
              <w:t xml:space="preserve"> </w:t>
            </w:r>
            <w:r>
              <w:t xml:space="preserve">to reduced density treatments (66% Density: 21.55%, 33% Density: 19.00%,</w:t>
            </w:r>
            <w:r>
              <w:t xml:space="preserve"> </w:t>
            </w:r>
            <w:r>
              <w:t xml:space="preserve">and Removed: 39.20%). This pattern suggests a potential</w:t>
            </w:r>
            <w:r>
              <w:t xml:space="preserve"> </w:t>
            </w:r>
            <w:r>
              <w:t xml:space="preserve">density-dependent relationship between urchin grazing and algal</w:t>
            </w:r>
            <w:r>
              <w:t xml:space="preserve"> </w:t>
            </w:r>
            <w:r>
              <w:t xml:space="preserve">abundance, but the high variability among patches masked the treatment</w:t>
            </w:r>
            <w:r>
              <w:t xml:space="preserve"> </w:t>
            </w:r>
            <w:r>
              <w:t xml:space="preserve">effect. The substantial variance component associated with patches</w:t>
            </w:r>
            <w:r>
              <w:t xml:space="preserve"> </w:t>
            </w:r>
            <w:r>
              <w:t xml:space="preserve">nested within treatments (294.31, approximately 39.5% of total variance)</w:t>
            </w:r>
            <w:r>
              <w:t xml:space="preserve"> </w:t>
            </w:r>
            <w:r>
              <w:t xml:space="preserve">underscores the importance of spatial heterogeneity in structuring algal</w:t>
            </w:r>
            <w:r>
              <w:t xml:space="preserve"> </w:t>
            </w:r>
            <w:r>
              <w:t xml:space="preserve">communities. This finding highlights the necessity of accounting for</w:t>
            </w:r>
            <w:r>
              <w:t xml:space="preserve"> </w:t>
            </w:r>
            <w:r>
              <w:t xml:space="preserve">spatial variability when designing and analyzing ecological field</w:t>
            </w:r>
            <w:r>
              <w:t xml:space="preserve"> </w:t>
            </w:r>
            <w:r>
              <w:t xml:space="preserve">experiments. From an ecological perspective, these results suggest that</w:t>
            </w:r>
            <w:r>
              <w:t xml:space="preserve"> </w:t>
            </w:r>
            <w:r>
              <w:t xml:space="preserve">while sea urchins may influence algal communities through grazing, local</w:t>
            </w:r>
            <w:r>
              <w:t xml:space="preserve"> </w:t>
            </w:r>
            <w:r>
              <w:t xml:space="preserve">environmental factors and patch-specific conditions play a dominant role</w:t>
            </w:r>
            <w:r>
              <w:t xml:space="preserve"> </w:t>
            </w:r>
            <w:r>
              <w:t xml:space="preserve">in determining algae cover. This has important implications for</w:t>
            </w:r>
            <w:r>
              <w:t xml:space="preserve"> </w:t>
            </w:r>
            <w:r>
              <w:t xml:space="preserve">ecosystem management, as it indicates that the effects of urchin density</w:t>
            </w:r>
            <w:r>
              <w:t xml:space="preserve"> </w:t>
            </w:r>
            <w:r>
              <w:t xml:space="preserve">manipulations may be context-dependent and influenced by local</w:t>
            </w:r>
            <w:r>
              <w:t xml:space="preserve"> </w:t>
            </w:r>
            <w:r>
              <w:t xml:space="preserve">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w:t>
      </w:r>
      <w:r>
        <w:t xml:space="preserve"> </w:t>
      </w:r>
      <w:r>
        <w:t xml:space="preserve">patch received only one treatment level. This hierarchical design is</w:t>
      </w:r>
      <w:r>
        <w:t xml:space="preserve"> </w:t>
      </w:r>
      <w:r>
        <w:t xml:space="preserve">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w:t>
      </w:r>
      <w:r>
        <w:t xml:space="preserve"> </w:t>
      </w:r>
      <w:r>
        <w:t xml:space="preserve">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w:t>
      </w:r>
      <w:r>
        <w:t xml:space="preserve"> </w:t>
      </w:r>
      <w:r>
        <w:t xml:space="preserve">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w:t>
      </w:r>
      <w:r>
        <w:t xml:space="preserve"> </w:t>
      </w:r>
      <w:r>
        <w:t xml:space="preserve">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w:t>
      </w:r>
      <w:r>
        <w:t xml:space="preserve"> </w:t>
      </w:r>
      <w:r>
        <w:t xml:space="preserve">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w:t>
      </w:r>
      <w:r>
        <w:t xml:space="preserve"> </w:t>
      </w:r>
      <w:r>
        <w:t xml:space="preserve">ANOVA (p = xxxxx), we can still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w:t>
      </w:r>
      <w:r>
        <w:t xml:space="preserve"> </w:t>
      </w:r>
      <w:r>
        <w:t xml:space="preserve">traditional nested ANOVA approach. The main advantage of the mixed model</w:t>
      </w:r>
      <w:r>
        <w:t xml:space="preserve"> </w:t>
      </w:r>
      <w:r>
        <w:t xml:space="preserve">is the more elegant handling of random effects and the extensive</w:t>
      </w:r>
      <w:r>
        <w:t xml:space="preserve"> </w:t>
      </w:r>
      <w:r>
        <w:t xml:space="preserve">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w:t>
      </w:r>
      <w:r>
        <w:t xml:space="preserve"> </w:t>
      </w:r>
      <w:r>
        <w:t xml:space="preserve">approach</w:t>
      </w:r>
    </w:p>
    <w:p>
      <w:pPr>
        <w:pStyle w:val="FirstParagraph"/>
      </w:pPr>
      <w:r>
        <w:t xml:space="preserve">In both methods, the key ecological finding is the strong spatial</w:t>
      </w:r>
      <w:r>
        <w:t xml:space="preserve"> </w:t>
      </w:r>
      <w:r>
        <w:t xml:space="preserve">heterogeneity in algal cover that overrides the grazing effect of</w:t>
      </w:r>
      <w:r>
        <w:t xml:space="preserve"> </w:t>
      </w:r>
      <w:r>
        <w:t xml:space="preserve">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2025-10-13T17:52:27Z</dcterms:created>
  <dcterms:modified xsi:type="dcterms:W3CDTF">2025-10-13T17:52:27Z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