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</w:t>
      </w:r>
      <w:r>
        <w:t xml:space="preserve"> </w:t>
      </w:r>
      <w:r>
        <w:t xml:space="preserve">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</w:t>
      </w:r>
      <w:r>
        <w:t xml:space="preserve"> </w:t>
      </w:r>
      <w:r>
        <w:t xml:space="preserve">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</w:t>
      </w:r>
      <w:r>
        <w:t xml:space="preserve"> </w:t>
      </w:r>
      <w:r>
        <w:t xml:space="preserve">0.05 ≤ p &lt; 0.10: Moderate evidence against H₀ - p ≥ 0.10: Insufficient</w:t>
      </w:r>
      <w:r>
        <w:t xml:space="preserve"> </w:t>
      </w:r>
      <w:r>
        <w:t xml:space="preserve">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</w:t>
      </w:r>
      <w:r>
        <w:t xml:space="preserve"> </w:t>
      </w:r>
      <w:r>
        <w:t xml:space="preserve">is true - p-value is NOT the probability that results occurred by</w:t>
      </w:r>
      <w:r>
        <w:t xml:space="preserve"> </w:t>
      </w:r>
      <w:r>
        <w:t xml:space="preserve">chance - Statistical significance ≠ practical significance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2025-08-26T17:05:50Z</dcterms:created>
  <dcterms:modified xsi:type="dcterms:W3CDTF">2025-08-26T17:05:50Z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