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1.png" ContentType="image/png"/>
  <Override PartName="/word/media/rId114.png" ContentType="image/png"/>
  <Override PartName="/word/media/rId57.png" ContentType="image/png"/>
  <Override PartName="/word/media/rId43.png" ContentType="image/png"/>
  <Override PartName="/word/media/rId81.png" ContentType="image/png"/>
  <Override PartName="/word/media/rId61.png" ContentType="image/png"/>
  <Override PartName="/word/media/rId126.png" ContentType="image/png"/>
  <Override PartName="/word/media/rId122.png" ContentType="image/png"/>
  <Override PartName="/word/media/rId77.png" ContentType="image/png"/>
  <Override PartName="/word/media/rId28.png" ContentType="image/png"/>
  <Override PartName="/word/media/rId47.png" ContentType="image/png"/>
  <Override PartName="/word/media/rId69.png" ContentType="image/png"/>
  <Override PartName="/word/media/rId110.png" ContentType="image/png"/>
  <Override PartName="/word/media/rId73.png" ContentType="image/png"/>
  <Override PartName="/word/media/rId24.png" ContentType="image/png"/>
  <Override PartName="/word/media/rId106.png" ContentType="image/png"/>
  <Override PartName="/word/media/rId38.png" ContentType="image/png"/>
  <Override PartName="/word/media/rId118.png" ContentType="image/png"/>
  <Override PartName="/word/media/rId53.png" ContentType="image/png"/>
  <Override PartName="/word/media/rId34.png" ContentType="image/png"/>
  <Override PartName="/word/media/rId102.png" ContentType="image/png"/>
  <Override PartName="/word/media/rId65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1" w:name="introduction-why-nmds"/>
    <w:p>
      <w:pPr>
        <w:pStyle w:val="Heading1"/>
      </w:pPr>
      <w:r>
        <w:t xml:space="preserve">Introduction: Why NMDS?</w:t>
      </w:r>
    </w:p>
    <w:bookmarkStart w:id="2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</w:t>
      </w:r>
    </w:p>
    <w:p>
      <w:pPr>
        <w:pStyle w:val="Compact"/>
        <w:numPr>
          <w:ilvl w:val="0"/>
          <w:numId w:val="1001"/>
        </w:numPr>
      </w:pPr>
      <w:r>
        <w:t xml:space="preserve">contains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explained,</w:t>
      </w:r>
    </w:p>
    <w:p>
      <w:pPr>
        <w:numPr>
          <w:ilvl w:val="1"/>
          <w:numId w:val="1003"/>
        </w:numPr>
      </w:pPr>
      <w:r>
        <w:t xml:space="preserve">focuses on preserving the</w:t>
      </w:r>
      <w:r>
        <w:t xml:space="preserve"> </w:t>
      </w:r>
      <w:r>
        <w:rPr>
          <w:i/>
          <w:iCs/>
        </w:rPr>
        <w:t xml:space="preserve">rank order</w:t>
      </w:r>
      <w:r>
        <w:t xml:space="preserve"> </w:t>
      </w:r>
      <w:r>
        <w:t xml:space="preserve">of similarities between</w:t>
      </w:r>
      <w:r>
        <w:t xml:space="preserve"> </w:t>
      </w:r>
      <w: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20"/>
    <w:bookmarkEnd w:id="21"/>
    <w:bookmarkStart w:id="22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Introduction</w:t>
      </w:r>
    </w:p>
    <w:p>
      <w:pPr>
        <w:pStyle w:val="BodyText"/>
      </w:pPr>
      <w:r>
        <w:t xml:space="preserve">This document outlines the workflow for Non-metric Multidimensional</w:t>
      </w:r>
      <w:r>
        <w:t xml:space="preserve"> </w:t>
      </w:r>
      <w:r>
        <w:t xml:space="preserve">Scaling (NMDS). Unlike PCA, NMDS is rank-based and handles the</w:t>
      </w:r>
      <w:r>
        <w:t xml:space="preserve"> </w:t>
      </w:r>
      <w:r>
        <w:t xml:space="preserve">“zero-rich”</w:t>
      </w:r>
      <w:r>
        <w:t xml:space="preserve"> </w:t>
      </w:r>
      <w:r>
        <w:t xml:space="preserve">nature of ecological data much better.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22"/>
    <w:bookmarkStart w:id="27" w:name="todays-data-the-doubs-river"/>
    <w:p>
      <w:pPr>
        <w:pStyle w:val="Heading1"/>
      </w:pPr>
      <w:r>
        <w:t xml:space="preserve">Today’s Data: The Doubs River</w:t>
      </w:r>
    </w:p>
    <w:bookmarkStart w:id="2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23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(joint absences don’t</w:t>
      </w:r>
      <w:r>
        <w:t xml:space="preserve"> </w:t>
      </w:r>
      <w:r>
        <w:t xml:space="preserve">contribute to similarity)</w:t>
      </w:r>
    </w:p>
    <w:p>
      <w:pPr>
        <w:numPr>
          <w:ilvl w:val="1"/>
          <w:numId w:val="1014"/>
        </w:numPr>
      </w:pPr>
      <w:r>
        <w:t xml:space="preserve">bounded between 0 and 1, weights by abundance (not just</w:t>
      </w:r>
      <w:r>
        <w:t xml:space="preserve"> </w:t>
      </w:r>
      <w:r>
        <w:t xml:space="preserve">presence/absence)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t xml:space="preserve">numerator sums up the absolute differences in abundance for each</w:t>
      </w:r>
      <w:r>
        <w:t xml:space="preserve"> </w:t>
      </w:r>
      <w:r>
        <w:t xml:space="preserve">species between two sites</w:t>
      </w:r>
    </w:p>
    <w:p>
      <w:pPr>
        <w:pStyle w:val="Compact"/>
        <w:numPr>
          <w:ilvl w:val="0"/>
          <w:numId w:val="1015"/>
        </w:numPr>
      </w:pPr>
      <w:r>
        <w:t xml:space="preserve">denominator sums up the total abundance at both 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t xml:space="preserve">“Of all the individuals at these two sites, what</w:t>
      </w:r>
      <w:r>
        <w:t xml:space="preserve"> </w:t>
      </w:r>
      <w:r>
        <w:t xml:space="preserve">proportion would need to be moved to make the sites identical?”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Bray-Curtis</w:t>
      </w:r>
      <w:r>
        <w:t xml:space="preserve"> </w:t>
      </w:r>
      <w:r>
        <w:t xml:space="preserve">ignores joint absences entirely. Similarity is based</w:t>
      </w:r>
      <w:r>
        <w:t xml:space="preserve"> </w:t>
      </w:r>
      <w:r>
        <w:t xml:space="preserve">only on what’s actually present and shared between sites.</w:t>
      </w:r>
    </w:p>
    <w:bookmarkEnd w:id="32"/>
    <w:bookmarkStart w:id="33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 that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33"/>
    <w:bookmarkStart w:id="37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(y-axis), with a fitted monotonic line.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SourceCode"/>
      </w:pPr>
      <w:r>
        <w:rPr>
          <w:rStyle w:val="CommentTok"/>
        </w:rPr>
        <w:t xml:space="preserve"># Create Shepard diagram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 for Fish NMDS"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meaning it can only go</w:t>
      </w:r>
      <w:r>
        <w:t xml:space="preserve"> </w:t>
      </w:r>
      <w:r>
        <w:t xml:space="preserve">up or stay flat, never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value quantifies</w:t>
      </w:r>
      <w:r>
        <w:t xml:space="preserve"> </w:t>
      </w:r>
      <w:r>
        <w:t xml:space="preserve">scatter around 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There’s minimal scatter, especially at low dissimilarities</w:t>
      </w:r>
    </w:p>
    <w:p>
      <w:pPr>
        <w:pStyle w:val="Compact"/>
        <w:numPr>
          <w:ilvl w:val="1"/>
          <w:numId w:val="1027"/>
        </w:numPr>
      </w:pPr>
      <w:r>
        <w:t xml:space="preserve">indicates this 2D solution captures the community relationships</w:t>
      </w:r>
      <w:r>
        <w:t xml:space="preserve"> </w:t>
      </w:r>
      <w:r>
        <w:t xml:space="preserve">well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2"/>
          <w:numId w:val="1028"/>
        </w:numPr>
      </w:pPr>
      <w:r>
        <w:t xml:space="preserve">Clarke (1993) provided widely-used guidelines for</w:t>
      </w:r>
      <w:r>
        <w:t xml:space="preserve"> </w:t>
      </w:r>
      <w:r>
        <w:t xml:space="preserve">interpreting stress values</w:t>
      </w:r>
    </w:p>
    <w:p>
      <w:pPr>
        <w:pStyle w:val="Compact"/>
        <w:numPr>
          <w:ilvl w:val="3"/>
          <w:numId w:val="1029"/>
        </w:numPr>
      </w:pPr>
      <w:r>
        <w:t xml:space="preserve">below 0.05 considered excellent representation w/no</w:t>
      </w:r>
      <w:r>
        <w:t xml:space="preserve"> </w:t>
      </w:r>
      <w:r>
        <w:t xml:space="preserve">misinterpretation</w:t>
      </w:r>
    </w:p>
    <w:p>
      <w:pPr>
        <w:pStyle w:val="Compact"/>
        <w:numPr>
          <w:ilvl w:val="3"/>
          <w:numId w:val="1029"/>
        </w:numPr>
      </w:pPr>
      <w:r>
        <w:t xml:space="preserve">0.05 - 0.10 good ordination with no real risk of drawing</w:t>
      </w:r>
      <w:r>
        <w:t xml:space="preserve"> </w:t>
      </w:r>
      <w:r>
        <w:t xml:space="preserve">false inferences</w:t>
      </w:r>
    </w:p>
    <w:p>
      <w:pPr>
        <w:pStyle w:val="Compact"/>
        <w:numPr>
          <w:ilvl w:val="3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3"/>
          <w:numId w:val="1029"/>
        </w:numPr>
      </w:pPr>
      <w:r>
        <w:t xml:space="preserve">0.20 and 0.30 used with caution/ 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3"/>
          <w:numId w:val="1029"/>
        </w:numPr>
      </w:pPr>
      <w:r>
        <w:t xml:space="preserve">&gt;0.30 is essentially random placement.</w:t>
      </w:r>
    </w:p>
    <w:bookmarkEnd w:id="42"/>
    <w:bookmarkStart w:id="46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2" w:name="nmds-in-practice"/>
    <w:p>
      <w:pPr>
        <w:pStyle w:val="Heading1"/>
      </w:pPr>
      <w:r>
        <w:t xml:space="preserve">NMDS in Practice</w:t>
      </w:r>
    </w:p>
    <w:bookmarkStart w:id="51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4.373442e-06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1"/>
    <w:bookmarkEnd w:id="52"/>
    <w:bookmarkStart w:id="56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5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7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1"/>
          <w:numId w:val="1039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6578600" cy="383751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837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2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2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2"/>
          <w:numId w:val="1043"/>
        </w:numPr>
      </w:pPr>
      <w:r>
        <w:t xml:space="preserve">Multivariate version of ANOVA</w:t>
      </w:r>
    </w:p>
    <w:p>
      <w:pPr>
        <w:pStyle w:val="Compact"/>
        <w:numPr>
          <w:ilvl w:val="2"/>
          <w:numId w:val="1043"/>
        </w:numPr>
      </w:pPr>
      <w:r>
        <w:t xml:space="preserve">Uses distances between samples instead of means</w:t>
      </w:r>
    </w:p>
    <w:p>
      <w:pPr>
        <w:pStyle w:val="Compact"/>
        <w:numPr>
          <w:ilvl w:val="2"/>
          <w:numId w:val="1043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6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6"/>
        </w:numPr>
      </w:pPr>
      <w:r>
        <w:t xml:space="preserve">Within-group sum of squares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1"/>
          <w:numId w:val="1047"/>
        </w:numPr>
      </w:pPr>
      <w:r>
        <w:t xml:space="preserve">No assumptions about data distribution</w:t>
      </w:r>
    </w:p>
    <w:p>
      <w:pPr>
        <w:pStyle w:val="Compact"/>
        <w:numPr>
          <w:ilvl w:val="1"/>
          <w:numId w:val="1047"/>
        </w:numPr>
      </w:pPr>
      <w:r>
        <w:t xml:space="preserve">Creates empirical null distribution</w:t>
      </w:r>
    </w:p>
    <w:p>
      <w:pPr>
        <w:pStyle w:val="Compact"/>
        <w:numPr>
          <w:ilvl w:val="1"/>
          <w:numId w:val="1047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H₀</w:t>
      </w:r>
      <w:r>
        <w:t xml:space="preserve">: The centroids of fish communities are the same across all</w:t>
      </w:r>
      <w:r>
        <w:t xml:space="preserve"> </w:t>
      </w:r>
      <w:r>
        <w:t xml:space="preserve">river reaches (Upper = Middle = Lower)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 H₀: River position doesn’t affect</w:t>
      </w:r>
      <w:r>
        <w:t xml:space="preserve"> </w:t>
      </w:r>
      <w:r>
        <w:t xml:space="preserve">community composition</w:t>
      </w:r>
    </w:p>
    <w:p>
      <w:pPr>
        <w:pStyle w:val="Compact"/>
        <w:numPr>
          <w:ilvl w:val="1"/>
          <w:numId w:val="1049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2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2"/>
        </w:numPr>
      </w:pPr>
      <w:r>
        <w:t xml:space="preserve">Linearity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1"/>
          <w:numId w:val="1053"/>
        </w:numPr>
      </w:pPr>
      <w:r>
        <w:t xml:space="preserve">If violated, PERMANOVA tests dispersion differences,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PERMANOVA on Fish Communities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1"/>
          <w:numId w:val="1057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pStyle w:val="Compact"/>
        <w:numPr>
          <w:ilvl w:val="1"/>
          <w:numId w:val="1057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1"/>
          <w:numId w:val="1057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1"/>
          <w:numId w:val="1059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1"/>
          <w:numId w:val="1059"/>
        </w:numPr>
      </w:pPr>
      <w:r>
        <w:t xml:space="preserve">Each comparison explains a substantial portion of variance (R²</w:t>
      </w:r>
      <w:r>
        <w:t xml:space="preserve"> </w:t>
      </w:r>
      <w:r>
        <w:t xml:space="preserve">&gt; 0.3)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comparison              F_stat    R2 p_value p_adjusted significant</w:t>
      </w:r>
      <w:r>
        <w:br/>
      </w:r>
      <w:r>
        <w:rPr>
          <w:rStyle w:val="VerbatimChar"/>
        </w:rPr>
        <w:t xml:space="preserve">##   &lt;chr&gt;                    &lt;dbl&gt; &lt;dbl&gt;   &lt;dbl&gt;      &lt;dbl&gt; &lt;chr&gt;      </w:t>
      </w:r>
      <w:r>
        <w:br/>
      </w:r>
      <w:r>
        <w:rPr>
          <w:rStyle w:val="VerbatimChar"/>
        </w:rPr>
        <w:t xml:space="preserve">## 1 Upstream vs Midstream     3.44 0.168   0.017      0.051 No         </w:t>
      </w:r>
      <w:r>
        <w:br/>
      </w:r>
      <w:r>
        <w:rPr>
          <w:rStyle w:val="VerbatimChar"/>
        </w:rPr>
        <w:t xml:space="preserve">## 2 Upstream vs Downstream   15.5  0.477   0.001      0.003 Yes        </w:t>
      </w:r>
      <w:r>
        <w:br/>
      </w:r>
      <w:r>
        <w:rPr>
          <w:rStyle w:val="VerbatimChar"/>
        </w:rPr>
        <w:t xml:space="preserve">## 3 Midstream vs Downstream   9.97 0.357   0.002      0.006 Yes</w:t>
      </w:r>
    </w:p>
    <w:bookmarkEnd w:id="86"/>
    <w:bookmarkStart w:id="90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is ANOSIM?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2"/>
          <w:numId w:val="1062"/>
        </w:numPr>
      </w:pPr>
      <w:r>
        <w:t xml:space="preserve">R ≈ 1: Groups are completely separated</w:t>
      </w:r>
    </w:p>
    <w:p>
      <w:pPr>
        <w:pStyle w:val="Compact"/>
        <w:numPr>
          <w:ilvl w:val="2"/>
          <w:numId w:val="1062"/>
        </w:numPr>
      </w:pPr>
      <w:r>
        <w:t xml:space="preserve">R ≈ 0: Groups are indistinguishable</w:t>
      </w:r>
    </w:p>
    <w:p>
      <w:pPr>
        <w:pStyle w:val="Compact"/>
        <w:numPr>
          <w:ilvl w:val="2"/>
          <w:numId w:val="1062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1"/>
          <w:numId w:val="1063"/>
        </w:numPr>
      </w:pPr>
      <w:r>
        <w:t xml:space="preserve">ANOSIM uses ranks of distances</w:t>
      </w:r>
    </w:p>
    <w:p>
      <w:pPr>
        <w:pStyle w:val="Compact"/>
        <w:numPr>
          <w:ilvl w:val="1"/>
          <w:numId w:val="1063"/>
        </w:numPr>
      </w:pPr>
      <w:r>
        <w:t xml:space="preserve">PERMANOVA uses actual distances</w:t>
      </w:r>
    </w:p>
    <w:p>
      <w:pPr>
        <w:pStyle w:val="Compact"/>
        <w:numPr>
          <w:ilvl w:val="1"/>
          <w:numId w:val="1063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1"/>
          <w:numId w:val="1066"/>
        </w:numPr>
      </w:pPr>
      <w:r>
        <w:t xml:space="preserve">R = 1: Perfect separation</w:t>
      </w:r>
    </w:p>
    <w:p>
      <w:pPr>
        <w:pStyle w:val="Compact"/>
        <w:numPr>
          <w:ilvl w:val="1"/>
          <w:numId w:val="1066"/>
        </w:numPr>
      </w:pPr>
      <w:r>
        <w:t xml:space="preserve">R = 0: No separation</w:t>
      </w:r>
    </w:p>
    <w:p>
      <w:pPr>
        <w:pStyle w:val="Compact"/>
        <w:numPr>
          <w:ilvl w:val="1"/>
          <w:numId w:val="1066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5"/>
    <w:bookmarkStart w:id="99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nseparation between groups</w:t>
      </w:r>
    </w:p>
    <w:p>
      <w:pPr>
        <w:pStyle w:val="Compact"/>
        <w:numPr>
          <w:ilvl w:val="1"/>
          <w:numId w:val="1068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Biological meaning</w:t>
      </w:r>
      <w:r>
        <w:t xml:space="preserve">: Fish communities are well-separated</w:t>
      </w:r>
      <w:r>
        <w:t xml:space="preserve"> </w:t>
      </w:r>
      <w:r>
        <w:t xml:space="preserve">between river reaches, with communities within each reach being</w:t>
      </w:r>
      <w:r>
        <w:t xml:space="preserve"> </w:t>
      </w:r>
      <w:r>
        <w:t xml:space="preserve">much more similar to each other than to communities in other</w:t>
      </w:r>
      <w:r>
        <w:t xml:space="preserve"> </w:t>
      </w:r>
      <w:r>
        <w:t xml:space="preserve">reaches</w:t>
      </w:r>
    </w:p>
    <w:p>
      <w:pPr>
        <w:pStyle w:val="Compact"/>
        <w:numPr>
          <w:ilvl w:val="0"/>
          <w:numId w:val="1067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69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69"/>
        </w:numPr>
      </w:pPr>
      <w:r>
        <w:t xml:space="preserve">R statistic of 0.51 quantifies this separation—there’s clear</w:t>
      </w:r>
      <w:r>
        <w:t xml:space="preserve"> </w:t>
      </w:r>
      <w:r>
        <w:t xml:space="preserve">differentiation, but with some overlap.</w:t>
      </w:r>
    </w:p>
    <w:p>
      <w:pPr>
        <w:numPr>
          <w:ilvl w:val="0"/>
          <w:numId w:val="1070"/>
        </w:numPr>
      </w:pPr>
      <w:r>
        <w:t xml:space="preserve">Interpreting R:</w:t>
      </w:r>
    </w:p>
    <w:p>
      <w:pPr>
        <w:pStyle w:val="Compact"/>
        <w:numPr>
          <w:ilvl w:val="1"/>
          <w:numId w:val="1071"/>
        </w:numPr>
      </w:pPr>
      <w:r>
        <w:t xml:space="preserve">R = 1 - Complete separation</w:t>
      </w:r>
    </w:p>
    <w:p>
      <w:pPr>
        <w:pStyle w:val="Compact"/>
        <w:numPr>
          <w:ilvl w:val="2"/>
          <w:numId w:val="1072"/>
        </w:numPr>
      </w:pPr>
      <w:r>
        <w:t xml:space="preserve">all within-group dissimilarities are smaller than all</w:t>
      </w:r>
      <w:r>
        <w:t xml:space="preserve"> </w:t>
      </w:r>
      <w:r>
        <w:t xml:space="preserve">between-group dissimilarities</w:t>
      </w:r>
    </w:p>
    <w:p>
      <w:pPr>
        <w:pStyle w:val="Compact"/>
        <w:numPr>
          <w:ilvl w:val="1"/>
          <w:numId w:val="1071"/>
        </w:numPr>
      </w:pPr>
      <w:r>
        <w:t xml:space="preserve">R &gt; 0.75 Well separated</w:t>
      </w:r>
    </w:p>
    <w:p>
      <w:pPr>
        <w:pStyle w:val="Compact"/>
        <w:numPr>
          <w:ilvl w:val="1"/>
          <w:numId w:val="1071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1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1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0"/>
    <w:bookmarkStart w:id="101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PERMANOVA:</w:t>
      </w:r>
    </w:p>
    <w:p>
      <w:pPr>
        <w:pStyle w:val="Compact"/>
        <w:numPr>
          <w:ilvl w:val="2"/>
          <w:numId w:val="1075"/>
        </w:numPr>
      </w:pPr>
      <w:r>
        <w:t xml:space="preserve">More powerful for detecting differences</w:t>
      </w:r>
    </w:p>
    <w:p>
      <w:pPr>
        <w:pStyle w:val="Compact"/>
        <w:numPr>
          <w:ilvl w:val="2"/>
          <w:numId w:val="1075"/>
        </w:numPr>
      </w:pPr>
      <w:r>
        <w:t xml:space="preserve">Better for complex experimental designs</w:t>
      </w:r>
    </w:p>
    <w:p>
      <w:pPr>
        <w:pStyle w:val="Compact"/>
        <w:numPr>
          <w:ilvl w:val="2"/>
          <w:numId w:val="1075"/>
        </w:numPr>
      </w:pPr>
      <w:r>
        <w:t xml:space="preserve">Can handle interactions and covariates</w:t>
      </w:r>
    </w:p>
    <w:p>
      <w:pPr>
        <w:pStyle w:val="Compact"/>
        <w:numPr>
          <w:ilvl w:val="2"/>
          <w:numId w:val="1075"/>
        </w:numPr>
      </w:pPr>
      <w:r>
        <w:t xml:space="preserve">Preferred for most applications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1"/>
          <w:numId w:val="1076"/>
        </w:numPr>
      </w:pPr>
      <w:r>
        <w:t xml:space="preserve">More robust to outliers</w:t>
      </w:r>
    </w:p>
    <w:p>
      <w:pPr>
        <w:pStyle w:val="Compact"/>
        <w:numPr>
          <w:ilvl w:val="1"/>
          <w:numId w:val="1076"/>
        </w:numPr>
      </w:pPr>
      <w:r>
        <w:t xml:space="preserve">Simpler interpretation</w:t>
      </w:r>
    </w:p>
    <w:p>
      <w:pPr>
        <w:pStyle w:val="Compact"/>
        <w:numPr>
          <w:ilvl w:val="1"/>
          <w:numId w:val="1076"/>
        </w:numPr>
      </w:pPr>
      <w:r>
        <w:t xml:space="preserve">Good for initial exploratory analysis</w:t>
      </w:r>
    </w:p>
    <w:p>
      <w:pPr>
        <w:pStyle w:val="Compact"/>
        <w:numPr>
          <w:ilvl w:val="1"/>
          <w:numId w:val="1076"/>
        </w:numPr>
      </w:pPr>
      <w:r>
        <w:t xml:space="preserve">Useful when distributions are very non-normal</w:t>
      </w:r>
    </w:p>
    <w:bookmarkEnd w:id="101"/>
    <w:bookmarkStart w:id="105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the Difference?</w:t>
      </w:r>
    </w:p>
    <w:p>
      <w:pPr>
        <w:pStyle w:val="Compact"/>
        <w:numPr>
          <w:ilvl w:val="0"/>
          <w:numId w:val="1077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 questions</w:t>
      </w:r>
      <w:r>
        <w:t xml:space="preserve">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79"/>
        </w:numPr>
      </w:pPr>
      <w:r>
        <w:t xml:space="preserve">Uses actual squared distances</w:t>
      </w:r>
    </w:p>
    <w:p>
      <w:pPr>
        <w:pStyle w:val="Compact"/>
        <w:numPr>
          <w:ilvl w:val="2"/>
          <w:numId w:val="1079"/>
        </w:numPr>
      </w:pPr>
      <w:r>
        <w:t xml:space="preserve">Partitions variance like ANOVA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 between-group?</w:t>
      </w:r>
    </w:p>
    <w:p>
      <w:pPr>
        <w:pStyle w:val="Compact"/>
        <w:numPr>
          <w:ilvl w:val="2"/>
          <w:numId w:val="1080"/>
        </w:numPr>
      </w:pPr>
      <w:r>
        <w:t xml:space="preserve">Uses ranked distances</w:t>
      </w:r>
    </w:p>
    <w:p>
      <w:pPr>
        <w:pStyle w:val="Compact"/>
        <w:numPr>
          <w:ilvl w:val="2"/>
          <w:numId w:val="1080"/>
        </w:numPr>
      </w:pPr>
      <w:r>
        <w:t xml:space="preserve">Compares rank distributions</w:t>
      </w:r>
    </w:p>
    <w:p>
      <w:pPr>
        <w:pStyle w:val="Compact"/>
        <w:numPr>
          <w:ilvl w:val="0"/>
          <w:numId w:val="1077"/>
        </w:numPr>
      </w:pPr>
      <w:r>
        <w:t xml:space="preserve">Three Critical Scenarios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2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 community)</w:t>
      </w:r>
    </w:p>
    <w:p>
      <w:pPr>
        <w:pStyle w:val="Compact"/>
        <w:numPr>
          <w:ilvl w:val="1"/>
          <w:numId w:val="1082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2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3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3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 PERMANOVA!</w:t>
      </w:r>
    </w:p>
    <w:p>
      <w:pPr>
        <w:pStyle w:val="Compact"/>
        <w:numPr>
          <w:ilvl w:val="1"/>
          <w:numId w:val="1085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86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6578600" cy="274108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88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89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89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87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0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0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87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1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87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87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6578600" cy="3588327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588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097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0"/>
    <w:bookmarkStart w:id="131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2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2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2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2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2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3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3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3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3"/>
        </w:numPr>
      </w:pPr>
      <w:r>
        <w:t xml:space="preserve">Can handle complex designs</w:t>
      </w:r>
    </w:p>
    <w:p>
      <w:pPr>
        <w:pStyle w:val="Compact"/>
        <w:numPr>
          <w:ilvl w:val="1"/>
          <w:numId w:val="1103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05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05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05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05"/>
        </w:numPr>
      </w:pPr>
      <w:r>
        <w:t xml:space="preserve">Simpler but less powerful</w:t>
      </w:r>
    </w:p>
    <w:p>
      <w:pPr>
        <w:pStyle w:val="Compact"/>
        <w:numPr>
          <w:ilvl w:val="1"/>
          <w:numId w:val="1105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06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06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06"/>
        </w:numPr>
      </w:pPr>
      <w:r>
        <w:t xml:space="preserve">Essential for management implications</w:t>
      </w:r>
    </w:p>
    <w:bookmarkEnd w:id="1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91" Target="media/rId91.png" /><Relationship Type="http://schemas.openxmlformats.org/officeDocument/2006/relationships/image" Id="rId114" Target="media/rId114.png" /><Relationship Type="http://schemas.openxmlformats.org/officeDocument/2006/relationships/image" Id="rId57" Target="media/rId57.png" /><Relationship Type="http://schemas.openxmlformats.org/officeDocument/2006/relationships/image" Id="rId43" Target="media/rId43.png" /><Relationship Type="http://schemas.openxmlformats.org/officeDocument/2006/relationships/image" Id="rId81" Target="media/rId81.png" /><Relationship Type="http://schemas.openxmlformats.org/officeDocument/2006/relationships/image" Id="rId61" Target="media/rId61.png" /><Relationship Type="http://schemas.openxmlformats.org/officeDocument/2006/relationships/image" Id="rId126" Target="media/rId126.png" /><Relationship Type="http://schemas.openxmlformats.org/officeDocument/2006/relationships/image" Id="rId122" Target="media/rId122.png" /><Relationship Type="http://schemas.openxmlformats.org/officeDocument/2006/relationships/image" Id="rId77" Target="media/rId77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69" Target="media/rId69.png" /><Relationship Type="http://schemas.openxmlformats.org/officeDocument/2006/relationships/image" Id="rId110" Target="media/rId110.png" /><Relationship Type="http://schemas.openxmlformats.org/officeDocument/2006/relationships/image" Id="rId73" Target="media/rId73.png" /><Relationship Type="http://schemas.openxmlformats.org/officeDocument/2006/relationships/image" Id="rId24" Target="media/rId24.png" /><Relationship Type="http://schemas.openxmlformats.org/officeDocument/2006/relationships/image" Id="rId106" Target="media/rId106.png" /><Relationship Type="http://schemas.openxmlformats.org/officeDocument/2006/relationships/image" Id="rId38" Target="media/rId38.png" /><Relationship Type="http://schemas.openxmlformats.org/officeDocument/2006/relationships/image" Id="rId118" Target="media/rId118.png" /><Relationship Type="http://schemas.openxmlformats.org/officeDocument/2006/relationships/image" Id="rId53" Target="media/rId53.png" /><Relationship Type="http://schemas.openxmlformats.org/officeDocument/2006/relationships/image" Id="rId34" Target="media/rId34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2025-11-30T03:39:59Z</dcterms:created>
  <dcterms:modified xsi:type="dcterms:W3CDTF">2025-11-30T03:39:59Z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