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4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21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20"/>
    <w:bookmarkEnd w:id="21"/>
    <w:bookmarkStart w:id="22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22"/>
    <w:bookmarkStart w:id="23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</w:t>
      </w:r>
      <w:r>
        <w:t xml:space="preserve"> </w:t>
      </w:r>
      <w:r>
        <w:t xml:space="preserve">opportunities from nutrients and prey from the lake.</w:t>
      </w:r>
    </w:p>
    <w:bookmarkEnd w:id="23"/>
    <w:bookmarkStart w:id="30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</w:t>
      </w:r>
      <w:r>
        <w:t xml:space="preserve"> </w:t>
      </w:r>
      <w:r>
        <w:t xml:space="preserve">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</w:t>
      </w:r>
      <w:r>
        <w:t xml:space="preserve"> </w:t>
      </w:r>
      <w:r>
        <w:t xml:space="preserve">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8_02_class_activity_files/figure-docx/basic_plot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8_02_class_activity_files/figure-docx/stream_plot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6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34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</w:tc>
      </w:tr>
    </w:tbl>
    <w:bookmarkEnd w:id="34"/>
    <w:bookmarkStart w:id="35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</w:t>
      </w:r>
      <w:r>
        <w:t xml:space="preserve"> </w:t>
      </w:r>
      <w:r>
        <w:t xml:space="preserve">individual fish (n = 36 per group).</w:t>
      </w:r>
    </w:p>
    <w:bookmarkEnd w:id="35"/>
    <w:bookmarkEnd w:id="36"/>
    <w:bookmarkStart w:id="43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</w:t>
      </w:r>
      <w:r>
        <w:t xml:space="preserve"> </w:t>
      </w:r>
      <w:r>
        <w:t xml:space="preserve">difference. The effect size here is called Cohen’s D measures the</w:t>
      </w:r>
      <w:r>
        <w:t xml:space="preserve"> </w:t>
      </w:r>
      <w:r>
        <w:t xml:space="preserve">difference between two group means in terms of standard deviations. It</w:t>
      </w:r>
      <w:r>
        <w:t xml:space="preserve"> </w:t>
      </w:r>
      <w:r>
        <w:t xml:space="preserve">helps to understand the magnitude of a difference beyond statistical</w:t>
      </w:r>
      <w:r>
        <w:t xml:space="preserve"> </w:t>
      </w:r>
      <w:r>
        <w:t xml:space="preserve">significance by expressing the distance between means as a standardized</w:t>
      </w:r>
      <w:r>
        <w:t xml:space="preserve"> </w:t>
      </w:r>
      <w:r>
        <w:t xml:space="preserve">value. For example, a Cohen’s d of 0.2 is considered a small effect, 0.5</w:t>
      </w:r>
      <w:r>
        <w:t xml:space="preserve"> </w:t>
      </w:r>
      <w:r>
        <w:t xml:space="preserve">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42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</w:t>
            </w:r>
            <w:r>
              <w:t xml:space="preserve"> </w:t>
            </w:r>
            <w:r>
              <w:t xml:space="preserve">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</w:tc>
      </w:tr>
    </w:tbl>
    <w:bookmarkEnd w:id="42"/>
    <w:bookmarkEnd w:id="43"/>
    <w:bookmarkStart w:id="44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44"/>
    <w:bookmarkStart w:id="47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45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45"/>
    <w:bookmarkStart w:id="46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46"/>
    <w:bookmarkEnd w:id="47"/>
    <w:bookmarkStart w:id="50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</w:t>
            </w:r>
            <w:r>
              <w:t xml:space="preserve"> </w:t>
            </w:r>
            <w:r>
              <w:t xml:space="preserve">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</w:tc>
      </w:tr>
    </w:tbl>
    <w:bookmarkEnd w:id="50"/>
    <w:bookmarkStart w:id="53" w:name="summary"/>
    <w:p>
      <w:pPr>
        <w:pStyle w:val="Heading1"/>
      </w:pPr>
      <w:r>
        <w:rPr>
          <w:b/>
          <w:bCs/>
        </w:rPr>
        <w:t xml:space="preserve">Summary</w:t>
      </w:r>
    </w:p>
    <w:bookmarkStart w:id="51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</w:t>
      </w:r>
      <w:r>
        <w:t xml:space="preserve"> </w:t>
      </w:r>
      <w:r>
        <w:t xml:space="preserve">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</w:t>
      </w:r>
      <w:r>
        <w:t xml:space="preserve"> </w:t>
      </w:r>
      <w:r>
        <w:t xml:space="preserve">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51"/>
    <w:bookmarkStart w:id="52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52"/>
    <w:bookmarkEnd w:id="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2025-12-01T17:42:34Z</dcterms:created>
  <dcterms:modified xsi:type="dcterms:W3CDTF">2025-12-01T17:42:34Z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