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 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is not available yet ; )</w:t>
      </w:r>
    </w:p>
    <w:p>
      <w:pPr>
        <w:pStyle w:val="Compact"/>
        <w:numPr>
          <w:ilvl w:val="0"/>
          <w:numId w:val="1002"/>
        </w:numPr>
      </w:pPr>
      <w:r>
        <w:t xml:space="preserve">Email is wlperry@d.umn.edu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 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 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 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 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 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 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 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 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 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 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 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 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 needle length range of 70–80 mm, we expect its needle lengths to fall in 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 the assumption (length range) is incorrect, conclusion could still be 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 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2025-08-15T15:54:53Z</dcterms:created>
  <dcterms:modified xsi:type="dcterms:W3CDTF">2025-08-15T15:54:53Z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