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99.png" ContentType="image/png"/>
  <Override PartName="/word/media/rId59.png" ContentType="image/png"/>
  <Override PartName="/word/media/rId104.png" ContentType="image/png"/>
  <Override PartName="/word/media/rId85.png" ContentType="image/png"/>
  <Override PartName="/word/media/rId38.png" ContentType="image/png"/>
  <Override PartName="/word/media/rId24.png" ContentType="image/png"/>
  <Override PartName="/word/media/rId67.png" ContentType="image/png"/>
  <Override PartName="/word/media/rId72.png" ContentType="image/png"/>
  <Override PartName="/word/media/rId63.png" ContentType="image/png"/>
  <Override PartName="/word/media/rId55.png" ContentType="image/png"/>
  <Override PartName="/word/media/rId50.png" ContentType="image/png"/>
  <Override PartName="/word/media/rId90.png" ContentType="image/png"/>
  <Override PartName="/word/media/rId33.png" ContentType="image/png"/>
  <Override PartName="/word/media/rId44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2743200" cy="27432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2" w:name="the-three-elements-of-a-glm"/>
    <w:p>
      <w:pPr>
        <w:pStyle w:val="Heading1"/>
      </w:pPr>
      <w:r>
        <w:t xml:space="preserve">The Three Elements of a GLM</w:t>
      </w:r>
    </w:p>
    <w:bookmarkStart w:id="31" w:name="glms-consist-of-three-components"/>
    <w:p>
      <w:pPr>
        <w:pStyle w:val="Heading3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End w:id="32"/>
    <w:bookmarkStart w:id="3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VerbatimChar"/>
        </w:rPr>
        <w:t xml:space="preserve">                   mpg cyl disp  hp drat    wt  qsec vs am gear carb</w:t>
      </w:r>
      <w:r>
        <w:br/>
      </w:r>
      <w:r>
        <w:rPr>
          <w:rStyle w:val="VerbatimChar"/>
        </w:rPr>
        <w:t xml:space="preserve">Mazda RX4         21.0   6  160 110 3.90 2.620 16.46  0  1    4    4</w:t>
      </w:r>
      <w:r>
        <w:br/>
      </w:r>
      <w:r>
        <w:rPr>
          <w:rStyle w:val="VerbatimChar"/>
        </w:rPr>
        <w:t xml:space="preserve">Mazda RX4 Wag     21.0   6  160 110 3.90 2.875 17.02  0  1    4    4</w:t>
      </w:r>
      <w:r>
        <w:br/>
      </w:r>
      <w:r>
        <w:rPr>
          <w:rStyle w:val="VerbatimChar"/>
        </w:rPr>
        <w:t xml:space="preserve">Datsun 710        22.8   4  108  93 3.85 2.320 18.61  1  1    4    1</w:t>
      </w:r>
      <w:r>
        <w:br/>
      </w:r>
      <w:r>
        <w:rPr>
          <w:rStyle w:val="VerbatimChar"/>
        </w:rPr>
        <w:t xml:space="preserve">Hornet 4 Drive    21.4   6  258 110 3.08 3.215 19.44  1  0    3    1</w:t>
      </w:r>
      <w:r>
        <w:br/>
      </w:r>
      <w:r>
        <w:rPr>
          <w:rStyle w:val="VerbatimChar"/>
        </w:rPr>
        <w:t xml:space="preserve">Hornet Sportabout 18.7   8  360 175 3.15 3.440 17.02  0  0    3    2</w:t>
      </w:r>
      <w:r>
        <w:br/>
      </w:r>
      <w:r>
        <w:rPr>
          <w:rStyle w:val="VerbatimChar"/>
        </w:rPr>
        <w:t xml:space="preserve">Valiant           18.1   6  225 105 2.76 3.460 20.22  1  0    3    1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Compare the coefficients</w:t>
      </w:r>
      <w:r>
        <w:br/>
      </w:r>
      <w:r>
        <w:rPr>
          <w:rStyle w:val="NormalTok"/>
        </w:rPr>
        <w:t xml:space="preserve">coef_lm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(model_lm)</w:t>
      </w:r>
      <w:r>
        <w:br/>
      </w:r>
      <w:r>
        <w:rPr>
          <w:rStyle w:val="NormalTok"/>
        </w:rPr>
        <w:t xml:space="preserve">coef_glm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(model_gaussian)</w:t>
      </w:r>
      <w:r>
        <w:br/>
      </w:r>
      <w:r>
        <w:br/>
      </w:r>
      <w:r>
        <w:rPr>
          <w:rStyle w:val="CommentTok"/>
        </w:rPr>
        <w:t xml:space="preserve"># # Check if they're the same</w:t>
      </w:r>
      <w:r>
        <w:br/>
      </w:r>
      <w:r>
        <w:rPr>
          <w:rStyle w:val="CommentTok"/>
        </w:rPr>
        <w:t xml:space="preserve"># all.equal(coef_lm, coef_glm)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4.979e-09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7"/>
    <w:bookmarkStart w:id="41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cyl       824.78  2   39.697 4.979e-09 ***</w:t>
      </w:r>
      <w:r>
        <w:br/>
      </w:r>
      <w:r>
        <w:rPr>
          <w:rStyle w:val="VerbatimChar"/>
        </w:rPr>
        <w:t xml:space="preserve">Residuals 301.26 29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bookmarkEnd w:id="42"/>
    <w:bookmarkEnd w:id="43"/>
    <w:bookmarkStart w:id="47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BodyText"/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SourceCode"/>
      </w:pPr>
      <w:r>
        <w:rPr>
          <w:rStyle w:val="VerbatimChar"/>
        </w:rPr>
        <w:t xml:space="preserve">                   cyl  qsec qsec_round</w:t>
      </w:r>
      <w:r>
        <w:br/>
      </w:r>
      <w:r>
        <w:rPr>
          <w:rStyle w:val="VerbatimChar"/>
        </w:rPr>
        <w:t xml:space="preserve">Mazda RX4            6 16.46         16</w:t>
      </w:r>
      <w:r>
        <w:br/>
      </w:r>
      <w:r>
        <w:rPr>
          <w:rStyle w:val="VerbatimChar"/>
        </w:rPr>
        <w:t xml:space="preserve">Mazda RX4 Wag        6 17.02         17</w:t>
      </w:r>
      <w:r>
        <w:br/>
      </w:r>
      <w:r>
        <w:rPr>
          <w:rStyle w:val="VerbatimChar"/>
        </w:rPr>
        <w:t xml:space="preserve">Datsun 710           4 18.61         19</w:t>
      </w:r>
      <w:r>
        <w:br/>
      </w:r>
      <w:r>
        <w:rPr>
          <w:rStyle w:val="VerbatimChar"/>
        </w:rPr>
        <w:t xml:space="preserve">Hornet 4 Drive       6 19.44         19</w:t>
      </w:r>
      <w:r>
        <w:br/>
      </w:r>
      <w:r>
        <w:rPr>
          <w:rStyle w:val="VerbatimChar"/>
        </w:rPr>
        <w:t xml:space="preserve">Hornet Sportabout    8 17.02         17</w:t>
      </w:r>
      <w:r>
        <w:br/>
      </w:r>
      <w:r>
        <w:rPr>
          <w:rStyle w:val="VerbatimChar"/>
        </w:rPr>
        <w:t xml:space="preserve">Valiant              6 20.22         20</w:t>
      </w:r>
      <w:r>
        <w:br/>
      </w:r>
      <w:r>
        <w:rPr>
          <w:rStyle w:val="VerbatimChar"/>
        </w:rPr>
        <w:t xml:space="preserve">Duster 360           8 15.84         16</w:t>
      </w:r>
      <w:r>
        <w:br/>
      </w:r>
      <w:r>
        <w:rPr>
          <w:rStyle w:val="VerbatimChar"/>
        </w:rPr>
        <w:t xml:space="preserve">Merc 240D            4 20.00         20</w:t>
      </w:r>
      <w:r>
        <w:br/>
      </w:r>
      <w:r>
        <w:rPr>
          <w:rStyle w:val="VerbatimChar"/>
        </w:rPr>
        <w:t xml:space="preserve">Merc 230             4 22.90         23</w:t>
      </w:r>
      <w:r>
        <w:br/>
      </w:r>
      <w:r>
        <w:rPr>
          <w:rStyle w:val="VerbatimChar"/>
        </w:rPr>
        <w:t xml:space="preserve">Merc 280             6 18.30         18</w:t>
      </w:r>
      <w:r>
        <w:br/>
      </w:r>
      <w:r>
        <w:rPr>
          <w:rStyle w:val="VerbatimChar"/>
        </w:rPr>
        <w:t xml:space="preserve">Merc 280C            6 18.90         19</w:t>
      </w:r>
      <w:r>
        <w:br/>
      </w:r>
      <w:r>
        <w:rPr>
          <w:rStyle w:val="VerbatimChar"/>
        </w:rPr>
        <w:t xml:space="preserve">Merc 450SE           8 17.40         17</w:t>
      </w:r>
      <w:r>
        <w:br/>
      </w:r>
      <w:r>
        <w:rPr>
          <w:rStyle w:val="VerbatimChar"/>
        </w:rPr>
        <w:t xml:space="preserve">Merc 450SL           8 17.60         18</w:t>
      </w:r>
      <w:r>
        <w:br/>
      </w:r>
      <w:r>
        <w:rPr>
          <w:rStyle w:val="VerbatimChar"/>
        </w:rPr>
        <w:t xml:space="preserve">Merc 450SLC          8 18.00         18</w:t>
      </w:r>
      <w:r>
        <w:br/>
      </w:r>
      <w:r>
        <w:rPr>
          <w:rStyle w:val="VerbatimChar"/>
        </w:rPr>
        <w:t xml:space="preserve">Cadillac Fleetwood   8 17.98         18</w:t>
      </w:r>
    </w:p>
    <w:p>
      <w:pPr>
        <w:pStyle w:val="FirstParagraph"/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unnamed-chunk-1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Compact"/>
        <w:numPr>
          <w:ilvl w:val="0"/>
          <w:numId w:val="1008"/>
        </w:numPr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Compact"/>
        <w:numPr>
          <w:ilvl w:val="0"/>
          <w:numId w:val="1008"/>
        </w:numPr>
      </w:pPr>
      <w:r>
        <w:t xml:space="preserve">With the natural log link, coefficients represent</w:t>
      </w:r>
      <w:r>
        <w:t xml:space="preserve"> </w:t>
      </w:r>
      <w:r>
        <w:rPr>
          <w:b/>
          <w:bCs/>
        </w:rPr>
        <w:t xml:space="preserve">multiplicative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A coefficient of β means: for each 1-unit increase in X, the</w:t>
      </w:r>
      <w:r>
        <w:t xml:space="preserve"> </w:t>
      </w:r>
      <w:r>
        <w:t xml:space="preserve">response is multiplied by exp(β)</w:t>
      </w:r>
    </w:p>
    <w:p>
      <w:pPr>
        <w:numPr>
          <w:ilvl w:val="1"/>
          <w:numId w:val="1009"/>
        </w:numPr>
      </w:pPr>
      <w:r>
        <w:t xml:space="preserve">For small β, exp(β) ≈ 1 + β, so β × 100% gives approximate</w:t>
      </w:r>
      <w:r>
        <w:t xml:space="preserve"> </w:t>
      </w:r>
      <w:r>
        <w:t xml:space="preserve">percentage change</w:t>
      </w:r>
    </w:p>
    <w:p>
      <w:pPr>
        <w:pStyle w:val="FirstParagraph"/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SourceCode"/>
      </w:pPr>
      <w:r>
        <w:rPr>
          <w:rStyle w:val="CommentTok"/>
        </w:rPr>
        <w:t xml:space="preserve"># Fit a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rPr>
          <w:rStyle w:val="CommentTok"/>
        </w:rPr>
        <w:t xml:space="preserve"># Look at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FirstParagraph"/>
      </w:pPr>
      <w:r>
        <w:t xml:space="preserve">Let’s check for overdispersion, which is common in count data:</w:t>
      </w:r>
    </w:p>
    <w:p>
      <w:pPr>
        <w:pStyle w:val="Compact"/>
        <w:numPr>
          <w:ilvl w:val="0"/>
          <w:numId w:val="1010"/>
        </w:numPr>
      </w:pPr>
      <w:r>
        <w:t xml:space="preserve">Should be close to 1 for a well-fitting Poisson model</w:t>
      </w:r>
    </w:p>
    <w:p>
      <w:pPr>
        <w:pStyle w:val="Compact"/>
        <w:numPr>
          <w:ilvl w:val="0"/>
          <w:numId w:val="1010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2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numPr>
          <w:ilvl w:val="3"/>
          <w:numId w:val="1013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numPr>
          <w:ilvl w:val="3"/>
          <w:numId w:val="1013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numPr>
          <w:ilvl w:val="3"/>
          <w:numId w:val="1013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bookmarkEnd w:id="48"/>
    <w:bookmarkStart w:id="49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Compact"/>
        <w:numPr>
          <w:ilvl w:val="0"/>
          <w:numId w:val="1014"/>
        </w:numPr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Compact"/>
        <w:numPr>
          <w:ilvl w:val="0"/>
          <w:numId w:val="1014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SourceCode"/>
      </w:pPr>
      <w:r>
        <w:rPr>
          <w:rStyle w:val="CommentTok"/>
        </w:rPr>
        <w:t xml:space="preserve"># Fit a Poisson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qsec_round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Pr(&gt;F)    </w:t>
      </w:r>
      <w:r>
        <w:br/>
      </w:r>
      <w:r>
        <w:rPr>
          <w:rStyle w:val="VerbatimChar"/>
        </w:rPr>
        <w:t xml:space="preserve">cyl       2.2493  2   9.4854 0.000677 ***</w:t>
      </w:r>
      <w:r>
        <w:br/>
      </w:r>
      <w:r>
        <w:rPr>
          <w:rStyle w:val="VerbatimChar"/>
        </w:rPr>
        <w:t xml:space="preserve">Residuals 3.4384 29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 cyl rate   SE  df asymp.LCL asymp.UCL</w:t>
      </w:r>
      <w:r>
        <w:br/>
      </w:r>
      <w:r>
        <w:rPr>
          <w:rStyle w:val="VerbatimChar"/>
        </w:rPr>
        <w:t xml:space="preserve"> 4   19.3 1.32 Inf      16.8      22.0</w:t>
      </w:r>
      <w:r>
        <w:br/>
      </w:r>
      <w:r>
        <w:rPr>
          <w:rStyle w:val="VerbatimChar"/>
        </w:rPr>
        <w:t xml:space="preserve"> 6   17.9 1.60 Inf      15.0      21.3</w:t>
      </w:r>
      <w:r>
        <w:br/>
      </w:r>
      <w:r>
        <w:rPr>
          <w:rStyle w:val="VerbatimChar"/>
        </w:rPr>
        <w:t xml:space="preserve"> 8   16.7 1.09 Inf      14.7      19.0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p>
      <w:pPr>
        <w:pStyle w:val="SourceCode"/>
      </w:pPr>
      <w:r>
        <w:rPr>
          <w:rStyle w:val="VerbatimChar"/>
        </w:rPr>
        <w:t xml:space="preserve"> contrast    ratio     SE  df null z.ratio p.value</w:t>
      </w:r>
      <w:r>
        <w:br/>
      </w:r>
      <w:r>
        <w:rPr>
          <w:rStyle w:val="VerbatimChar"/>
        </w:rPr>
        <w:t xml:space="preserve"> cyl6 / cyl4 0.927 0.1040 Inf    1  -0.676  0.8740</w:t>
      </w:r>
      <w:r>
        <w:br/>
      </w:r>
      <w:r>
        <w:rPr>
          <w:rStyle w:val="VerbatimChar"/>
        </w:rPr>
        <w:t xml:space="preserve"> cyl8 / cyl4 0.867 0.0822 Inf    1  -1.502  0.3484</w:t>
      </w:r>
      <w:r>
        <w:br/>
      </w:r>
      <w:r>
        <w:rPr>
          <w:rStyle w:val="VerbatimChar"/>
        </w:rPr>
        <w:t xml:space="preserve"> cyl8 / cyl6 0.936 0.1040 Inf    1  -0.597  0.9092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VerbatimChar"/>
        </w:rPr>
        <w:t xml:space="preserve"> cyl rate   SE  df asymp.LCL asymp.UCL .group</w:t>
      </w:r>
      <w:r>
        <w:br/>
      </w:r>
      <w:r>
        <w:rPr>
          <w:rStyle w:val="VerbatimChar"/>
        </w:rPr>
        <w:t xml:space="preserve"> 8   16.7 1.09 Inf      14.3      19.5  a    </w:t>
      </w:r>
      <w:r>
        <w:br/>
      </w:r>
      <w:r>
        <w:rPr>
          <w:rStyle w:val="VerbatimChar"/>
        </w:rPr>
        <w:t xml:space="preserve"> 6   17.9 1.60 Inf      14.4      22.1  a    </w:t>
      </w:r>
      <w:r>
        <w:br/>
      </w:r>
      <w:r>
        <w:rPr>
          <w:rStyle w:val="VerbatimChar"/>
        </w:rPr>
        <w:t xml:space="preserve"> 4   19.3 1.32 Inf      16.4      22.7  a 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9"/>
    <w:bookmarkStart w:id="54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15"/>
        </w:numPr>
      </w:pPr>
      <w:r>
        <w:t xml:space="preserve">In a Poisson GLM with a log link function:</w:t>
      </w:r>
    </w:p>
    <w:p>
      <w:pPr>
        <w:numPr>
          <w:ilvl w:val="1"/>
          <w:numId w:val="1016"/>
        </w:numPr>
      </w:pPr>
      <w:r>
        <w:t xml:space="preserve">The coefficients represent 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</w:t>
      </w:r>
      <w:r>
        <w:t xml:space="preserve"> </w:t>
      </w:r>
      <w:r>
        <w:t xml:space="preserve">expected count</w:t>
      </w:r>
    </w:p>
    <w:p>
      <w:pPr>
        <w:numPr>
          <w:ilvl w:val="1"/>
          <w:numId w:val="1016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), they represent multiplicative</w:t>
      </w:r>
      <w:r>
        <w:t xml:space="preserve"> </w:t>
      </w:r>
      <w:r>
        <w:t xml:space="preserve">effects</w:t>
      </w:r>
    </w:p>
    <w:p>
      <w:pPr>
        <w:numPr>
          <w:ilvl w:val="1"/>
          <w:numId w:val="1016"/>
        </w:numPr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exp(coef)</w:t>
      </w:r>
      <w:r>
        <w:t xml:space="preserve"> </w:t>
      </w:r>
      <w:r>
        <w:t xml:space="preserve">= 0.90 means the expected count is 90%</w:t>
      </w:r>
      <w:r>
        <w:t xml:space="preserve"> </w:t>
      </w:r>
      <w:r>
        <w:t xml:space="preserve">of the reference level</w:t>
      </w:r>
    </w:p>
    <w:bookmarkEnd w:id="53"/>
    <w:bookmarkEnd w:id="54"/>
    <w:bookmarkStart w:id="58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diagnostics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we may need to use a negative binomial</w:t>
      </w:r>
      <w:r>
        <w:t xml:space="preserve"> </w:t>
      </w:r>
      <w:r>
        <w:t xml:space="preserve">model instead.</w:t>
      </w:r>
    </w:p>
    <w:p>
      <w:pPr>
        <w:pStyle w:val="SourceCode"/>
      </w:pPr>
      <w:r>
        <w:rPr>
          <w:rStyle w:val="CommentTok"/>
        </w:rPr>
        <w:t xml:space="preserve"># If we detected overdispersion, we could fit a negative binomial model</w:t>
      </w:r>
      <w:r>
        <w:br/>
      </w:r>
      <w:r>
        <w:rPr>
          <w:rStyle w:val="CommentTok"/>
        </w:rPr>
        <w:t xml:space="preserve"># This is just for demonstration - our data may not actually need this</w:t>
      </w:r>
      <w:r>
        <w:br/>
      </w:r>
      <w:r>
        <w:rPr>
          <w:rStyle w:val="CommentTok"/>
        </w:rPr>
        <w:t xml:space="preserve"># Fit negative binomial model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rPr>
          <w:rStyle w:val="CommentTok"/>
        </w:rPr>
        <w:t xml:space="preserve"># Compare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2935507.581,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Binomial(2935508)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2935508 </w:t>
      </w:r>
      <w:r>
        <w:br/>
      </w:r>
      <w:r>
        <w:rPr>
          <w:rStyle w:val="VerbatimChar"/>
        </w:rPr>
        <w:t xml:space="preserve">          Std. Err.:  121363169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FirstParagraph"/>
      </w:pPr>
      <w:r>
        <w:t xml:space="preserve">The negative binomial model includes an additional dispersion parameter</w:t>
      </w:r>
      <w:r>
        <w:t xml:space="preserve"> </w:t>
      </w:r>
      <w:r>
        <w:t xml:space="preserve">(theta) that allows the variance to be larger than the mean.</w:t>
      </w:r>
    </w:p>
    <w:p>
      <w:pPr>
        <w:pStyle w:val="BodyText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4_01_lecture_powerpoint_files/figure-docx/compare-models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18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18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0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71"/>
    <w:bookmarkStart w:id="7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CommentTok"/>
        </w:rPr>
        <w:t xml:space="preserve"># Reduced model (intercept only)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Likelihood ratio 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1        18     26.287                          </w:t>
      </w:r>
      <w:r>
        <w:br/>
      </w:r>
      <w:r>
        <w:rPr>
          <w:rStyle w:val="VerbatimChar"/>
        </w:rPr>
        <w:t xml:space="preserve">2        17      0.000  1   26.287 2.943e-07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5"/>
    <w:bookmarkStart w:id="77" w:name="interpreting-the-odds-ratio"/>
    <w:p>
      <w:pPr>
        <w:pStyle w:val="Heading1"/>
      </w:pPr>
      <w:r>
        <w:t xml:space="preserve">Interpreting the Odds Ratio</w:t>
      </w:r>
    </w:p>
    <w:bookmarkStart w:id="76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0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0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0"/>
        </w:numPr>
      </w:pPr>
      <w:r>
        <w:t xml:space="preserve">If odds ratio = 1: No effect of predictor on odds of event</w:t>
      </w:r>
    </w:p>
    <w:p>
      <w:pPr>
        <w:pStyle w:val="SourceCode"/>
      </w:pPr>
      <w:r>
        <w:rPr>
          <w:rStyle w:val="CommentTok"/>
        </w:rPr>
        <w:t xml:space="preserve"># Calculate odds ratio and confidence interval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0 to Inf </w:t>
      </w:r>
    </w:p>
    <w:bookmarkEnd w:id="76"/>
    <w:bookmarkEnd w:id="77"/>
    <w:bookmarkStart w:id="78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  <w:r>
        <w:t xml:space="preserve"> </w:t>
      </w:r>
      <w:r>
        <w:t xml:space="preserve">:::{.panel}</w:t>
      </w:r>
    </w:p>
    <w:p>
      <w:pPr>
        <w:pStyle w:val="SourceCode"/>
      </w:pPr>
      <w:r>
        <w:rPr>
          <w:rStyle w:val="CommentTok"/>
        </w:rPr>
        <w:t xml:space="preserve"># Calculate Hosmer-Lemeshow statistic</w:t>
      </w:r>
      <w:r>
        <w:br/>
      </w:r>
      <w:r>
        <w:rPr>
          <w:rStyle w:val="CommentTok"/>
        </w:rPr>
        <w:t xml:space="preserve"># This would normally require an additional package like 'ResourceSelection'</w:t>
      </w:r>
      <w:r>
        <w:br/>
      </w:r>
      <w:r>
        <w:rPr>
          <w:rStyle w:val="CommentTok"/>
        </w:rPr>
        <w:t xml:space="preserve"># Instead, we'll use a simpler approximation and other diagnostics</w:t>
      </w:r>
      <w:r>
        <w:br/>
      </w:r>
      <w:r>
        <w:br/>
      </w:r>
      <w:r>
        <w:rPr>
          <w:rStyle w:val="CommentTok"/>
        </w:rPr>
        <w:t xml:space="preserve"># Calculate Pearson residuals</w:t>
      </w:r>
      <w:r>
        <w:br/>
      </w:r>
      <w:r>
        <w:rPr>
          <w:rStyle w:val="NormalTok"/>
        </w:rPr>
        <w:t xml:space="preserve">pearson_resid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pearson_chi2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(pearson_resid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CommentTok"/>
        </w:rPr>
        <w:t xml:space="preserve"># Calculate deviance</w:t>
      </w:r>
      <w:r>
        <w:br/>
      </w:r>
      <w:r>
        <w:rPr>
          <w:rStyle w:val="NormalTok"/>
        </w:rPr>
        <w:t xml:space="preserve">deviance_g2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</w:t>
      </w:r>
      <w:r>
        <w:br/>
      </w:r>
      <w:r>
        <w:rPr>
          <w:rStyle w:val="NormalTok"/>
        </w:rPr>
        <w:t xml:space="preserve">null_deviance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CommentTok"/>
        </w:rPr>
        <w:t xml:space="preserve"># Calculate McFadden's pseudo-R²</w:t>
      </w:r>
      <w:r>
        <w:br/>
      </w:r>
      <w:r>
        <w:rPr>
          <w:rStyle w:val="NormalTok"/>
        </w:rPr>
        <w:t xml:space="preserve">r2_mcfadden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(deviance_g2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null_deviance)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χ²:"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(pearson_chi2,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(pearson_chi2,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Pearson χ²: 18.58 on 28 df, p = 0.911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G²:"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(deviance_g2,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(deviance_g2,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Deviance G²: 19.09 on 28 df, p = 0.895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"McFadden's R²:"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(r2_mcfadden,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McFadden's R²: 0.54 </w:t>
      </w:r>
    </w:p>
    <w:p>
      <w:pPr>
        <w:pStyle w:val="FirstParagraph"/>
      </w:pPr>
      <w:r>
        <w:t xml:space="preserve">:::</w:t>
      </w:r>
    </w:p>
    <w:bookmarkEnd w:id="78"/>
    <w:bookmarkStart w:id="79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rodent_present ~ distance + age + shrub_cover, </w:t>
      </w:r>
      <w:r>
        <w:br/>
      </w:r>
      <w:r>
        <w:rPr>
          <w:rStyle w:val="VerbatimChar"/>
        </w:rPr>
        <w:t xml:space="preserve">    family = binomial(link = "logit"), data = fragment_data)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  </w:t>
      </w:r>
      <w:r>
        <w:br/>
      </w:r>
      <w:r>
        <w:rPr>
          <w:rStyle w:val="VerbatimChar"/>
        </w:rPr>
        <w:t xml:space="preserve">(Intercept) -12.278261   7.911491  -1.552   0.1207  </w:t>
      </w:r>
      <w:r>
        <w:br/>
      </w:r>
      <w:r>
        <w:rPr>
          <w:rStyle w:val="VerbatimChar"/>
        </w:rPr>
        <w:t xml:space="preserve">distance      0.002062   0.001716   1.202   0.2294  </w:t>
      </w:r>
      <w:r>
        <w:br/>
      </w:r>
      <w:r>
        <w:rPr>
          <w:rStyle w:val="VerbatimChar"/>
        </w:rPr>
        <w:t xml:space="preserve">age           0.068744   0.059665   1.152   0.2493  </w:t>
      </w:r>
      <w:r>
        <w:br/>
      </w:r>
      <w:r>
        <w:rPr>
          <w:rStyle w:val="VerbatimChar"/>
        </w:rPr>
        <w:t xml:space="preserve">shrub_cover   0.193001   0.116035   1.663   0.0963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27.5540  on 24  degrees of freedom</w:t>
      </w:r>
      <w:r>
        <w:br/>
      </w:r>
      <w:r>
        <w:rPr>
          <w:rStyle w:val="VerbatimChar"/>
        </w:rPr>
        <w:t xml:space="preserve">Residual deviance:  9.2737  on 21  degrees of freedom</w:t>
      </w:r>
      <w:r>
        <w:br/>
      </w:r>
      <w:r>
        <w:rPr>
          <w:rStyle w:val="VerbatimChar"/>
        </w:rPr>
        <w:t xml:space="preserve">AIC: 17.274</w:t>
      </w:r>
      <w:r>
        <w:br/>
      </w:r>
      <w:r>
        <w:br/>
      </w:r>
      <w:r>
        <w:rPr>
          <w:rStyle w:val="VerbatimChar"/>
        </w:rPr>
        <w:t xml:space="preserve">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age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1        22    11.3831                     </w:t>
      </w:r>
      <w:r>
        <w:br/>
      </w:r>
      <w:r>
        <w:rPr>
          <w:rStyle w:val="VerbatimChar"/>
        </w:rPr>
        <w:t xml:space="preserve">2        21     9.2737  1   2.1094   0.1464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1        22    11.0533                     </w:t>
      </w:r>
      <w:r>
        <w:br/>
      </w:r>
      <w:r>
        <w:rPr>
          <w:rStyle w:val="VerbatimChar"/>
        </w:rPr>
        <w:t xml:space="preserve">2        21     9.2737  1   1.7796   0.1822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age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1        22    26.7315                          </w:t>
      </w:r>
      <w:r>
        <w:br/>
      </w:r>
      <w:r>
        <w:rPr>
          <w:rStyle w:val="VerbatimChar"/>
        </w:rPr>
        <w:t xml:space="preserve">2        21     9.2737  1   17.458 2.938e-05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9"/>
    <w:bookmarkStart w:id="80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predictors:</w:t>
      </w:r>
      <w:r>
        <w:t xml:space="preserve"> </w:t>
      </w:r>
      <w:r>
        <w:t xml:space="preserve">:::{.panel}</w:t>
      </w:r>
    </w:p>
    <w:p>
      <w:pPr>
        <w:pStyle w:val="SourceCode"/>
      </w:pPr>
      <w:r>
        <w:rPr>
          <w:rStyle w:val="VerbatimChar"/>
        </w:rPr>
        <w:t xml:space="preserve">              Predictor OddsRatio               CI</w:t>
      </w:r>
      <w:r>
        <w:br/>
      </w:r>
      <w:r>
        <w:rPr>
          <w:rStyle w:val="VerbatimChar"/>
        </w:rPr>
        <w:t xml:space="preserve">distance       distance    1.0021 (0.9994, 1.0069)</w:t>
      </w:r>
      <w:r>
        <w:br/>
      </w:r>
      <w:r>
        <w:rPr>
          <w:rStyle w:val="VerbatimChar"/>
        </w:rPr>
        <w:t xml:space="preserve">age                 age    1.0712 (0.9721, 1.2577)</w:t>
      </w:r>
      <w:r>
        <w:br/>
      </w:r>
      <w:r>
        <w:rPr>
          <w:rStyle w:val="VerbatimChar"/>
        </w:rPr>
        <w:t xml:space="preserve">shrub_cover shrub_cover    1.2129 (1.0645, 1.7909)</w:t>
      </w:r>
    </w:p>
    <w:p>
      <w:pPr>
        <w:pStyle w:val="FirstParagraph"/>
      </w:pPr>
      <w:r>
        <w:t xml:space="preserve">:::</w:t>
      </w:r>
    </w:p>
    <w:bookmarkEnd w:id="80"/>
    <w:bookmarkStart w:id="84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2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1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21"/>
        </w:numPr>
      </w:pPr>
      <w:r>
        <w:t xml:space="preserve">No extreme outliers</w:t>
      </w:r>
    </w:p>
    <w:p>
      <w:pPr>
        <w:pStyle w:val="Compact"/>
        <w:numPr>
          <w:ilvl w:val="0"/>
          <w:numId w:val="1021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  <w:r>
        <w:t xml:space="preserve"> </w:t>
      </w:r>
      <w:r>
        <w:t xml:space="preserve">:::{.panel}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</w:t>
      </w:r>
    </w:p>
    <w:bookmarkEnd w:id="88"/>
    <w:bookmarkStart w:id="89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22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22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22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VerbatimChar"/>
        </w:rPr>
        <w:t xml:space="preserve">                        Model Parameters   AIC   BIC Deviance</w:t>
      </w:r>
      <w:r>
        <w:br/>
      </w:r>
      <w:r>
        <w:rPr>
          <w:rStyle w:val="VerbatimChar"/>
        </w:rPr>
        <w:t xml:space="preserve">No Age                 No Age          3 17.05 20.71    11.05</w:t>
      </w:r>
      <w:r>
        <w:br/>
      </w:r>
      <w:r>
        <w:rPr>
          <w:rStyle w:val="VerbatimChar"/>
        </w:rPr>
        <w:t xml:space="preserve">Full                     Full          4 17.27 22.15     9.27</w:t>
      </w:r>
      <w:r>
        <w:br/>
      </w:r>
      <w:r>
        <w:rPr>
          <w:rStyle w:val="VerbatimChar"/>
        </w:rPr>
        <w:t xml:space="preserve">No Distance       No Distance          3 17.38 21.04    11.38</w:t>
      </w:r>
      <w:r>
        <w:br/>
      </w:r>
      <w:r>
        <w:rPr>
          <w:rStyle w:val="VerbatimChar"/>
        </w:rPr>
        <w:t xml:space="preserve">Intercept Only Intercept Only          1 29.55 30.77    27.55</w:t>
      </w:r>
      <w:r>
        <w:br/>
      </w:r>
      <w:r>
        <w:rPr>
          <w:rStyle w:val="VerbatimChar"/>
        </w:rPr>
        <w:t xml:space="preserve">No Shrub             No Shrub          3 32.73 36.39    26.73</w:t>
      </w:r>
    </w:p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Absent Present</w:t>
      </w:r>
      <w:r>
        <w:br/>
      </w:r>
      <w:r>
        <w:rPr>
          <w:rStyle w:val="VerbatimChar"/>
        </w:rPr>
        <w:t xml:space="preserve">  Absent       5       2</w:t>
      </w:r>
      <w:r>
        <w:br/>
      </w:r>
      <w:r>
        <w:rPr>
          <w:rStyle w:val="VerbatimChar"/>
        </w:rPr>
        <w:t xml:space="preserve">  Present      1      17</w:t>
      </w:r>
    </w:p>
    <w:p>
      <w:pPr>
        <w:pStyle w:val="SourceCode"/>
      </w:pPr>
      <w:r>
        <w:br/>
      </w:r>
      <w:r>
        <w:rPr>
          <w:rStyle w:val="VerbatimChar"/>
        </w:rPr>
        <w:t xml:space="preserve">Accuracy: 0.88 </w:t>
      </w:r>
    </w:p>
    <w:p>
      <w:pPr>
        <w:pStyle w:val="SourceCode"/>
      </w:pPr>
      <w:r>
        <w:rPr>
          <w:rStyle w:val="VerbatimChar"/>
        </w:rPr>
        <w:t xml:space="preserve">Sensitivity: 0.895 </w:t>
      </w:r>
    </w:p>
    <w:p>
      <w:pPr>
        <w:pStyle w:val="SourceCode"/>
      </w:pPr>
      <w:r>
        <w:rPr>
          <w:rStyle w:val="VerbatimChar"/>
        </w:rPr>
        <w:t xml:space="preserve">Specificity: 0.833 </w:t>
      </w:r>
    </w:p>
    <w:bookmarkEnd w:id="89"/>
    <w:bookmarkStart w:id="93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  <w:r>
        <w:t xml:space="preserve"> </w:t>
      </w:r>
      <w:r>
        <w:t xml:space="preserve">:::{.panel}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</w:t>
      </w:r>
    </w:p>
    <w:bookmarkEnd w:id="93"/>
    <w:bookmarkStart w:id="96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6"/>
    <w:bookmarkStart w:id="98" w:name="relationship-between-glms-and-anovas"/>
    <w:p>
      <w:pPr>
        <w:pStyle w:val="Heading1"/>
      </w:pPr>
      <w:r>
        <w:t xml:space="preserve">Relationship Between GLMs and ANOVAs</w:t>
      </w:r>
    </w:p>
    <w:bookmarkStart w:id="97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23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23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24"/>
        </w:numPr>
      </w:pPr>
      <w:r>
        <w:t xml:space="preserve">Therefore, a one-way ANOVA is equivalent to:</w:t>
      </w:r>
    </w:p>
    <w:p>
      <w:pPr>
        <w:numPr>
          <w:ilvl w:val="1"/>
          <w:numId w:val="1025"/>
        </w:numPr>
      </w:pPr>
      <w:r>
        <w:t xml:space="preserve">A linear regression with a categorical predictor</w:t>
      </w:r>
    </w:p>
    <w:p>
      <w:pPr>
        <w:numPr>
          <w:ilvl w:val="1"/>
          <w:numId w:val="1025"/>
        </w:numPr>
      </w:pPr>
      <w:r>
        <w:t xml:space="preserve">A Gaussian GLM with an identity link and a categorical predictor</w:t>
      </w:r>
    </w:p>
    <w:bookmarkEnd w:id="97"/>
    <w:bookmarkEnd w:id="98"/>
    <w:bookmarkStart w:id="102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  <w:r>
        <w:t xml:space="preserve"> </w:t>
      </w:r>
      <w:r>
        <w:t xml:space="preserve">:::{.panel}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</w:tr>
    </w:tbl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</w:t>
      </w:r>
    </w:p>
    <w:bookmarkEnd w:id="102"/>
    <w:bookmarkStart w:id="107" w:name="assumptions-and-diagnostics-summary"/>
    <w:p>
      <w:pPr>
        <w:pStyle w:val="Heading1"/>
      </w:pPr>
      <w:r>
        <w:t xml:space="preserve">Assumptions and Diagnostics Summary</w:t>
      </w:r>
    </w:p>
    <w:bookmarkStart w:id="103" w:name="X4078f2e500a58f3d5d4b68df5562d01ae8ed6cd"/>
    <w:p>
      <w:pPr>
        <w:pStyle w:val="Heading3"/>
      </w:pPr>
      <w:r>
        <w:t xml:space="preserve">Generalized Linear Models have different assumptions depending on the specific distribution and link function used: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27"/>
        </w:numPr>
      </w:pPr>
      <w:r>
        <w:t xml:space="preserve">Independence of observations</w:t>
      </w:r>
    </w:p>
    <w:p>
      <w:pPr>
        <w:pStyle w:val="Compact"/>
        <w:numPr>
          <w:ilvl w:val="1"/>
          <w:numId w:val="1027"/>
        </w:numPr>
      </w:pPr>
      <w:r>
        <w:t xml:space="preserve">Correct specification of the link function</w:t>
      </w:r>
    </w:p>
    <w:p>
      <w:pPr>
        <w:pStyle w:val="Compact"/>
        <w:numPr>
          <w:ilvl w:val="1"/>
          <w:numId w:val="1027"/>
        </w:numPr>
      </w:pPr>
      <w:r>
        <w:t xml:space="preserve">Correct specification of the variance structure</w:t>
      </w:r>
    </w:p>
    <w:p>
      <w:pPr>
        <w:pStyle w:val="Compact"/>
        <w:numPr>
          <w:ilvl w:val="1"/>
          <w:numId w:val="1027"/>
        </w:numPr>
      </w:pPr>
      <w:r>
        <w:t xml:space="preserve">No influential outliers</w:t>
      </w:r>
    </w:p>
    <w:p>
      <w:pPr>
        <w:pStyle w:val="Compact"/>
        <w:numPr>
          <w:ilvl w:val="1"/>
          <w:numId w:val="1027"/>
        </w:numPr>
      </w:pPr>
      <w:r>
        <w:t xml:space="preserve">No multicollinearity among predictors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28"/>
        </w:numPr>
      </w:pPr>
      <w:r>
        <w:t xml:space="preserve">Normality of residuals</w:t>
      </w:r>
    </w:p>
    <w:p>
      <w:pPr>
        <w:pStyle w:val="Compact"/>
        <w:numPr>
          <w:ilvl w:val="1"/>
          <w:numId w:val="1028"/>
        </w:numPr>
      </w:pPr>
      <w:r>
        <w:t xml:space="preserve">Homogeneity of variance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29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29"/>
        </w:numPr>
      </w:pPr>
      <w:r>
        <w:t xml:space="preserve">Mean equals variance (if overdispersed, consider negative</w:t>
      </w:r>
      <w:r>
        <w:t xml:space="preserve"> </w:t>
      </w:r>
      <w:r>
        <w:t xml:space="preserve">binomial)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30"/>
        </w:numPr>
      </w:pPr>
      <w:r>
        <w:t xml:space="preserve">Binary response variable</w:t>
      </w:r>
    </w:p>
    <w:p>
      <w:pPr>
        <w:pStyle w:val="Compact"/>
        <w:numPr>
          <w:ilvl w:val="1"/>
          <w:numId w:val="1030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30"/>
        </w:numPr>
      </w:pPr>
      <w:r>
        <w:t xml:space="preserve">Adequate sample size relative to number of parameters</w:t>
      </w:r>
    </w:p>
    <w:bookmarkEnd w:id="103"/>
    <w:p>
      <w:pPr>
        <w:pStyle w:val="FirstParagraph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08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are equivalent to</w:t>
      </w:r>
      <w:r>
        <w:t xml:space="preserve"> </w:t>
      </w:r>
      <w:r>
        <w:t xml:space="preserve">standard linear models and ANOVAs, suitable for normally distributed</w:t>
      </w:r>
      <w:r>
        <w:t xml:space="preserve"> </w:t>
      </w:r>
      <w:r>
        <w:t xml:space="preserve">continuous responses.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responses, modeling the probability of success or presence.</w:t>
      </w:r>
    </w:p>
    <w:p>
      <w:pPr>
        <w:pStyle w:val="FirstParagraph"/>
      </w:pPr>
      <w:r>
        <w:t xml:space="preserve">Key advantages of GLMs include:</w:t>
      </w:r>
    </w:p>
    <w:p>
      <w:pPr>
        <w:pStyle w:val="Compact"/>
        <w:numPr>
          <w:ilvl w:val="0"/>
          <w:numId w:val="1032"/>
        </w:numPr>
      </w:pPr>
      <w:r>
        <w:t xml:space="preserve">Ability to handle various types of response variables beyond normal</w:t>
      </w:r>
      <w:r>
        <w:t xml:space="preserve"> </w:t>
      </w:r>
      <w:r>
        <w:t xml:space="preserve">distributions</w:t>
      </w:r>
    </w:p>
    <w:p>
      <w:pPr>
        <w:pStyle w:val="Compact"/>
        <w:numPr>
          <w:ilvl w:val="0"/>
          <w:numId w:val="1032"/>
        </w:numPr>
      </w:pPr>
      <w:r>
        <w:t xml:space="preserve">Unified framework for linear modeling</w:t>
      </w:r>
    </w:p>
    <w:p>
      <w:pPr>
        <w:pStyle w:val="Compact"/>
        <w:numPr>
          <w:ilvl w:val="0"/>
          <w:numId w:val="1032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0"/>
          <w:numId w:val="1032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33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33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33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33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33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8"/>
    <w:bookmarkStart w:id="109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104" Target="media/rId104.png" /><Relationship Type="http://schemas.openxmlformats.org/officeDocument/2006/relationships/image" Id="rId85" Target="media/rId85.png" /><Relationship Type="http://schemas.openxmlformats.org/officeDocument/2006/relationships/image" Id="rId38" Target="media/rId38.png" /><Relationship Type="http://schemas.openxmlformats.org/officeDocument/2006/relationships/image" Id="rId24" Target="media/rId24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63" Target="media/rId63.png" /><Relationship Type="http://schemas.openxmlformats.org/officeDocument/2006/relationships/image" Id="rId55" Target="media/rId55.png" /><Relationship Type="http://schemas.openxmlformats.org/officeDocument/2006/relationships/image" Id="rId50" Target="media/rId50.png" /><Relationship Type="http://schemas.openxmlformats.org/officeDocument/2006/relationships/image" Id="rId90" Target="media/rId90.png" /><Relationship Type="http://schemas.openxmlformats.org/officeDocument/2006/relationships/image" Id="rId33" Target="media/rId33.png" /><Relationship Type="http://schemas.openxmlformats.org/officeDocument/2006/relationships/image" Id="rId44" Target="media/rId44.png" /><Relationship Type="http://schemas.openxmlformats.org/officeDocument/2006/relationships/image" Id="rId81" Target="media/rId8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2025-11-05T17:02:45Z</dcterms:created>
  <dcterms:modified xsi:type="dcterms:W3CDTF">2025-11-05T17:02:45Z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