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88.png" ContentType="image/png"/>
  <Override PartName="/word/media/rId84.png" ContentType="image/png"/>
  <Override PartName="/word/media/rId76.png" ContentType="image/png"/>
  <Override PartName="/word/media/rId93.png" ContentType="image/png"/>
  <Override PartName="/word/media/rId68.png" ContentType="image/png"/>
  <Override PartName="/word/media/rId32.png" ContentType="image/png"/>
  <Override PartName="/word/media/rId120.png" ContentType="image/png"/>
  <Override PartName="/word/media/rId126.png" ContentType="image/png"/>
  <Override PartName="/word/media/rId131.png" ContentType="image/png"/>
  <Override PartName="/word/media/rId103.png" ContentType="image/png"/>
  <Override PartName="/word/media/rId109.png" ContentType="image/png"/>
  <Override PartName="/word/media/rId115.png" ContentType="image/png"/>
  <Override PartName="/word/media/rId54.png" ContentType="image/png"/>
  <Override PartName="/word/media/rId80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BodyText"/>
      </w:pPr>
      <w:r>
        <w:t xml:space="preserve">TGW - yep its a thing</w:t>
      </w:r>
    </w:p>
    <w:p>
      <w:pPr>
        <w:pStyle w:val="BodyText"/>
      </w:pPr>
      <w:r>
        <w:t xml:space="preserve">ODO - what do you think it is?</w:t>
      </w:r>
    </w:p>
    <w:p>
      <w:pPr>
        <w:pStyle w:val="BodyText"/>
      </w:pPr>
      <w:r>
        <w:t xml:space="preserve">NO3 - what is it? Are you sure? Why might you get in legal trouble if</w:t>
      </w:r>
      <w:r>
        <w:t xml:space="preserve"> </w:t>
      </w:r>
      <w:r>
        <w:t xml:space="preserve">you used this?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4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4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4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4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4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4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` 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200275" cy="23526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06"/>
        </w:numPr>
      </w:pPr>
      <w:r>
        <w:t xml:space="preserve">Responses occur with some characteristic probability, not with</w:t>
      </w:r>
      <w:r>
        <w:t xml:space="preserve"> </w:t>
      </w:r>
      <w:r>
        <w:t xml:space="preserve">certainty</w:t>
      </w:r>
    </w:p>
    <w:p>
      <w:pPr>
        <w:pStyle w:val="Compact"/>
        <w:numPr>
          <w:ilvl w:val="0"/>
          <w:numId w:val="100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0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07"/>
        </w:numPr>
      </w:pPr>
      <w:r>
        <w:t xml:space="preserve">Some variation is heritable</w:t>
      </w:r>
    </w:p>
    <w:p>
      <w:pPr>
        <w:pStyle w:val="Compact"/>
        <w:numPr>
          <w:ilvl w:val="1"/>
          <w:numId w:val="100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0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05"/>
        </w:numPr>
      </w:pPr>
      <w:r>
        <w:t xml:space="preserve">Measurements include error</w:t>
      </w:r>
    </w:p>
    <w:p>
      <w:pPr>
        <w:pStyle w:val="Compact"/>
        <w:numPr>
          <w:ilvl w:val="0"/>
          <w:numId w:val="100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0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0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histogram?- see activity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39"/>
    <w:bookmarkStart w:id="42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Population</w:t>
      </w:r>
      <w:r>
        <w:t xml:space="preserve">: The entire group of things under consideration; the</w:t>
      </w:r>
      <w:r>
        <w:t xml:space="preserve"> </w:t>
      </w:r>
      <w:r>
        <w:t xml:space="preserve">group for which answers obtained from measurements and statistical</w:t>
      </w:r>
      <w:r>
        <w:t xml:space="preserve"> </w:t>
      </w:r>
      <w:r>
        <w:t xml:space="preserve">analysis are pertinent.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</w:t>
      </w:r>
      <w:r>
        <w:t xml:space="preserve">: A subset of the population that is actually measured.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unit</w:t>
      </w:r>
      <w:r>
        <w:t xml:space="preserve">: The individual thing drawn from the population.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Observational population</w:t>
      </w:r>
      <w:r>
        <w:t xml:space="preserve">: Usually finite but may be very large</w:t>
      </w:r>
      <w:r>
        <w:t xml:space="preserve"> </w:t>
      </w:r>
      <w:r>
        <w:t xml:space="preserve">(e.g., head width of all corn earworms in a field)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Experimental population</w:t>
      </w:r>
      <w:r>
        <w:t xml:space="preserve">: Often conceptually infinite (e.g., all</w:t>
      </w:r>
      <w:r>
        <w:t xml:space="preserve"> </w:t>
      </w:r>
      <w:r>
        <w:t xml:space="preserve">possible goldenrod plants that could receive a specific fertilizer</w:t>
      </w:r>
      <w:r>
        <w:t xml:space="preserve"> </w:t>
      </w:r>
      <w:r>
        <w:t xml:space="preserve">treatment)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11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2171700" cy="2324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pop_sample_stat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3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3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t xml:space="preserve">The standard deviation formula above includes n-1 in the denominator</w:t>
      </w:r>
      <w:r>
        <w:t xml:space="preserve"> </w:t>
      </w:r>
      <w:r>
        <w:t xml:space="preserve">(rather than n) to provide an unbiased estimate of the population</w:t>
      </w:r>
      <w:r>
        <w:t xml:space="preserve"> </w:t>
      </w:r>
      <w:r>
        <w:t xml:space="preserve">parameter.</w:t>
      </w:r>
    </w:p>
    <w:p>
      <w:pPr>
        <w:pStyle w:val="BodyText"/>
      </w:pPr>
      <w:r>
        <w:drawing>
          <wp:inline>
            <wp:extent cx="1895475" cy="18859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pop_sample_sta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54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p>
      <w:pPr>
        <w:pStyle w:val="FirstParagraph"/>
      </w:pPr>
      <w:r>
        <w:t xml:space="preserve">Understanding the type of variable you’re working with is essential for</w:t>
      </w:r>
      <w:r>
        <w:t xml:space="preserve"> </w:t>
      </w:r>
      <w:r>
        <w:t xml:space="preserve">selecting appropriate statistics:</w:t>
      </w:r>
    </w:p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5"/>
        </w:numPr>
      </w:pPr>
      <w:r>
        <w:t xml:space="preserve">Assign only order, not quantity</w:t>
      </w:r>
    </w:p>
    <w:p>
      <w:pPr>
        <w:pStyle w:val="Compact"/>
        <w:numPr>
          <w:ilvl w:val="0"/>
          <w:numId w:val="1015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6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6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0" w:name="lecture-3-derived-variables"/>
    <w:p>
      <w:pPr>
        <w:pStyle w:val="Heading1"/>
      </w:pPr>
      <w:r>
        <w:t xml:space="preserve">Lecture 3: Derived Variables</w:t>
      </w:r>
    </w:p>
    <w:p>
      <w:pPr>
        <w:pStyle w:val="FirstParagraph"/>
      </w:pPr>
      <w:r>
        <w:t xml:space="preserve">Derived Variables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Start w:id="53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3"/>
    <w:bookmarkStart w:id="57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t xml:space="preserve">When taking biological measurements, understanding measurement quality</w:t>
      </w:r>
      <w:r>
        <w:t xml:space="preserve"> </w:t>
      </w:r>
      <w:r>
        <w:t xml:space="preserve">is essential: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t xml:space="preserve">Accuracy is a function of both precision and bias. For statisticians,</w:t>
      </w:r>
      <w:r>
        <w:t xml:space="preserve"> </w:t>
      </w:r>
      <w:r>
        <w:t xml:space="preserve">bias is usually a more serious problem than low precision because:</w:t>
      </w:r>
    </w:p>
    <w:p>
      <w:pPr>
        <w:numPr>
          <w:ilvl w:val="0"/>
          <w:numId w:val="1019"/>
        </w:numPr>
      </w:pPr>
      <w:r>
        <w:t xml:space="preserve">It’s harder to detect (true value usually unknown)</w:t>
      </w:r>
    </w:p>
    <w:p>
      <w:pPr>
        <w:numPr>
          <w:ilvl w:val="0"/>
          <w:numId w:val="1019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343150" cy="23241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1056328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0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pine needles or fish?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Accuracy issues? what could they be?</w:t>
            </w:r>
          </w:p>
        </w:tc>
      </w:tr>
    </w:tbl>
    <w:bookmarkEnd w:id="60"/>
    <w:bookmarkStart w:id="62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1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3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1"/>
    <w:p>
      <w:pPr>
        <w:pStyle w:val="SourceCode"/>
      </w:pPr>
      <w:r>
        <w:rPr>
          <w:rStyle w:val="VerbatimChar"/>
        </w:rPr>
        <w:t xml:space="preserve">Mean length of all fish: 324.5 mm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2"/>
    <w:bookmarkStart w:id="63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4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4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VerbatimChar"/>
        </w:rPr>
        <w:t xml:space="preserve">Median length of all fish: 324.5 mm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3"/>
    <w:bookmarkStart w:id="67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4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4"/>
    <w:bookmarkStart w:id="65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5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5"/>
    <w:bookmarkStart w:id="66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6"/>
    <w:p>
      <w:pPr>
        <w:pStyle w:val="SourceCode"/>
      </w:pPr>
      <w:r>
        <w:rPr>
          <w:rStyle w:val="VerbatimChar"/>
        </w:rPr>
        <w:t xml:space="preserve">Variance of length: 4225.9 mm²</w:t>
      </w:r>
    </w:p>
    <w:p>
      <w:pPr>
        <w:pStyle w:val="SourceCode"/>
      </w:pPr>
      <w:r>
        <w:rPr>
          <w:rStyle w:val="VerbatimChar"/>
        </w:rPr>
        <w:t xml:space="preserve">Standard deviation of length: 65 mm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7"/>
    <w:bookmarkStart w:id="71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</w:p>
    <w:p>
      <w:pPr>
        <w:pStyle w:val="SourceCode"/>
      </w:pPr>
      <w:r>
        <w:rPr>
          <w:rStyle w:val="VerbatimChar"/>
        </w:rPr>
        <w:t xml:space="preserve">Number of fish: 66 </w:t>
      </w:r>
    </w:p>
    <w:p>
      <w:pPr>
        <w:pStyle w:val="SourceCode"/>
      </w:pPr>
      <w:r>
        <w:rPr>
          <w:rStyle w:val="VerbatimChar"/>
        </w:rPr>
        <w:t xml:space="preserve">Mean length: 265.61 mm</w:t>
      </w:r>
    </w:p>
    <w:p>
      <w:pPr>
        <w:pStyle w:val="SourceCode"/>
      </w:pPr>
      <w:r>
        <w:rPr>
          <w:rStyle w:val="VerbatimChar"/>
        </w:rPr>
        <w:t xml:space="preserve">Standard Deviation: 28.3 mm</w:t>
      </w:r>
    </w:p>
    <w:p>
      <w:pPr>
        <w:pStyle w:val="SourceCode"/>
      </w:pPr>
      <w:r>
        <w:rPr>
          <w:rStyle w:val="VerbatimChar"/>
        </w:rPr>
        <w:t xml:space="preserve">Range for ±2 SD: 209 to 322.21 mm</w:t>
      </w:r>
    </w:p>
    <w:p>
      <w:pPr>
        <w:pStyle w:val="SourceCode"/>
      </w:pPr>
      <w:r>
        <w:rPr>
          <w:rStyle w:val="VerbatimChar"/>
        </w:rPr>
        <w:t xml:space="preserve">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3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2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2"/>
    <w:p>
      <w:pPr>
        <w:pStyle w:val="SourceCode"/>
      </w:pPr>
      <w:r>
        <w:rPr>
          <w:rStyle w:val="VerbatimChar"/>
        </w:rPr>
        <w:t xml:space="preserve">Coefficient of variation: 10.7 %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73"/>
    <w:bookmarkStart w:id="74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</w:tbl>
    <w:bookmarkEnd w:id="74"/>
    <w:bookmarkStart w:id="79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5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6"/>
        </w:numPr>
      </w:pPr>
      <w:r>
        <w:t xml:space="preserve">But there are issues and it might not be good…</w:t>
      </w:r>
    </w:p>
    <w:p>
      <w:pPr>
        <w:pStyle w:val="Compact"/>
        <w:numPr>
          <w:ilvl w:val="1"/>
          <w:numId w:val="1027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28"/>
        </w:numPr>
      </w:pPr>
      <w:r>
        <w:t xml:space="preserve">geometric is all values multiplied taken to the nth root</w:t>
      </w:r>
    </w:p>
    <w:p>
      <w:pPr>
        <w:pStyle w:val="Compact"/>
        <w:numPr>
          <w:ilvl w:val="1"/>
          <w:numId w:val="1027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bookmarkEnd w:id="75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</w:p>
    <w:p>
      <w:pPr>
        <w:pStyle w:val="SourceCode"/>
      </w:pPr>
      <w:r>
        <w:rPr>
          <w:rStyle w:val="VerbatimChar"/>
        </w:rPr>
        <w:t xml:space="preserve">Geometric mean (back-transformed mean of logs): NA mm</w:t>
      </w:r>
    </w:p>
    <w:bookmarkEnd w:id="79"/>
    <w:bookmarkStart w:id="83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08628452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2"/>
    <w:bookmarkStart w:id="96" w:name="lecture-3-density-plot---mean-vs.-median"/>
    <w:p>
      <w:pPr>
        <w:pStyle w:val="Heading1"/>
      </w:pPr>
      <w:r>
        <w:t xml:space="preserve">Lecture 3: Density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961"/>
        <w:gridCol w:w="961"/>
        <w:gridCol w:w="156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ratio_iqr_sd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</w:tr>
    </w:tbl>
    <w:bookmarkEnd w:id="97"/>
    <w:bookmarkStart w:id="98" w:name="lecture-3-understanding-percentiles"/>
    <w:p>
      <w:pPr>
        <w:pStyle w:val="Heading1"/>
      </w:pPr>
      <w:r>
        <w:t xml:space="preserve">Lecture 3: Understanding Percentiles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BodyText"/>
      </w:pPr>
      <w:r>
        <w:t xml:space="preserve">The 25th percentile is the first quartile (Q1)</w:t>
      </w:r>
    </w:p>
    <w:p>
      <w:pPr>
        <w:pStyle w:val="BodyText"/>
      </w:pPr>
      <w:r>
        <w:t xml:space="preserve">The 50th percentile is the median</w:t>
      </w:r>
    </w:p>
    <w:p>
      <w:pPr>
        <w:pStyle w:val="BodyText"/>
      </w:pPr>
      <w:r>
        <w:t xml:space="preserve">The 75th percentile is the third quartile (Q3)</w:t>
      </w:r>
    </w:p>
    <w:p>
      <w:pPr>
        <w:pStyle w:val="BodyText"/>
      </w:pPr>
      <w:r>
        <w:t xml:space="preserve">The IQR is the difference between Q3 and Q1.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68"/>
        <w:gridCol w:w="973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10th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251.1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25th (Q1)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270.8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50th (Median)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324.5</w:t>
            </w:r>
          </w:p>
        </w:tc>
      </w:tr>
      <w:tr>
        <w:trPr>
          <w:trHeight w:val="618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75th (Q3)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377.0</w:t>
            </w:r>
          </w:p>
        </w:tc>
      </w:tr>
      <w:tr>
        <w:trPr>
          <w:trHeight w:val="573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408.6</w:t>
            </w:r>
          </w:p>
        </w:tc>
      </w:tr>
    </w:tbl>
    <w:bookmarkEnd w:id="98"/>
    <w:bookmarkStart w:id="9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</w:p>
    <w:p>
      <w:pPr>
        <w:pStyle w:val="SourceCode"/>
      </w:pPr>
      <w:r>
        <w:rPr>
          <w:rStyle w:val="VerbatimChar"/>
        </w:rPr>
        <w:t xml:space="preserve">Mean mass with na.rm=TRUE: 351.2289 g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14"/>
        <w:gridCol w:w="1609"/>
        <w:gridCol w:w="1780"/>
        <w:gridCol w:w="1291"/>
        <w:gridCol w:w="1401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n_missing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bookmarkEnd w:id="99"/>
    <w:bookmarkStart w:id="10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numPr>
          <w:ilvl w:val="0"/>
          <w:numId w:val="1030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numPr>
          <w:ilvl w:val="0"/>
          <w:numId w:val="1030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numPr>
          <w:ilvl w:val="0"/>
          <w:numId w:val="1030"/>
        </w:numPr>
      </w:pPr>
      <w:r>
        <w:t xml:space="preserve">Report the number of missing values along with your statistics.</w:t>
      </w:r>
    </w:p>
    <w:p>
      <w:pPr>
        <w:numPr>
          <w:ilvl w:val="0"/>
          <w:numId w:val="1030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0"/>
    <w:bookmarkStart w:id="10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1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1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1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1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1"/>
    <w:bookmarkStart w:id="10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2"/>
    <w:bookmarkStart w:id="10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SourceCode"/>
      </w:pPr>
      <w:r>
        <w:rPr>
          <w:rStyle w:val="CommentTok"/>
        </w:rPr>
        <w:t xml:space="preserve"># Display the sample means</w:t>
      </w:r>
      <w:r>
        <w:br/>
      </w:r>
      <w:r>
        <w:rPr>
          <w:rStyle w:val="NormalTok"/>
        </w:rPr>
        <w:t xml:space="preserve">samples_df</w:t>
      </w:r>
    </w:p>
    <w:p>
      <w:pPr>
        <w:pStyle w:val="SourceCode"/>
      </w:pPr>
      <w:r>
        <w:rPr>
          <w:rStyle w:val="VerbatimChar"/>
        </w:rPr>
        <w:t xml:space="preserve">   sample_number sample_mean</w:t>
      </w:r>
      <w:r>
        <w:br/>
      </w:r>
      <w:r>
        <w:rPr>
          <w:rStyle w:val="VerbatimChar"/>
        </w:rPr>
        <w:t xml:space="preserve">1              1    269.9333</w:t>
      </w:r>
      <w:r>
        <w:br/>
      </w:r>
      <w:r>
        <w:rPr>
          <w:rStyle w:val="VerbatimChar"/>
        </w:rPr>
        <w:t xml:space="preserve">2              2    260.6000</w:t>
      </w:r>
      <w:r>
        <w:br/>
      </w:r>
      <w:r>
        <w:rPr>
          <w:rStyle w:val="VerbatimChar"/>
        </w:rPr>
        <w:t xml:space="preserve">3              3    255.2000</w:t>
      </w:r>
      <w:r>
        <w:br/>
      </w:r>
      <w:r>
        <w:rPr>
          <w:rStyle w:val="VerbatimChar"/>
        </w:rPr>
        <w:t xml:space="preserve">4              4    263.4000</w:t>
      </w:r>
      <w:r>
        <w:br/>
      </w:r>
      <w:r>
        <w:rPr>
          <w:rStyle w:val="VerbatimChar"/>
        </w:rPr>
        <w:t xml:space="preserve">5              5    275.3333</w:t>
      </w:r>
      <w:r>
        <w:br/>
      </w:r>
      <w:r>
        <w:rPr>
          <w:rStyle w:val="VerbatimChar"/>
        </w:rPr>
        <w:t xml:space="preserve">6              6    279.2667</w:t>
      </w:r>
      <w:r>
        <w:br/>
      </w:r>
      <w:r>
        <w:rPr>
          <w:rStyle w:val="VerbatimChar"/>
        </w:rPr>
        <w:t xml:space="preserve">7              7    263.7333</w:t>
      </w:r>
      <w:r>
        <w:br/>
      </w:r>
      <w:r>
        <w:rPr>
          <w:rStyle w:val="VerbatimChar"/>
        </w:rPr>
        <w:t xml:space="preserve">8              8    273.6000</w:t>
      </w:r>
      <w:r>
        <w:br/>
      </w:r>
      <w:r>
        <w:rPr>
          <w:rStyle w:val="VerbatimChar"/>
        </w:rPr>
        <w:t xml:space="preserve">9              9    264.8000</w:t>
      </w:r>
      <w:r>
        <w:br/>
      </w:r>
      <w:r>
        <w:rPr>
          <w:rStyle w:val="VerbatimChar"/>
        </w:rPr>
        <w:t xml:space="preserve">10            10    269.8667</w:t>
      </w:r>
    </w:p>
    <w:p>
      <w:pPr>
        <w:pStyle w:val="SourceCode"/>
      </w:pPr>
      <w:r>
        <w:rPr>
          <w:rStyle w:val="CommentTok"/>
        </w:rPr>
        <w:t xml:space="preserve"># Calculate the mean and standard deviation of the sample means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267.5733</w:t>
      </w:r>
    </w:p>
    <w:p>
      <w:pPr>
        <w:pStyle w:val="SourceCode"/>
      </w:pPr>
      <w:r>
        <w:rPr>
          <w:rStyle w:val="FunctionTok"/>
        </w:rPr>
        <w:t xml:space="preserve">sd</w:t>
      </w:r>
      <w:r>
        <w:rPr>
          <w:rStyle w:val="NormalTok"/>
        </w:rPr>
        <w:t xml:space="preserve">(sample_means)</w:t>
      </w:r>
    </w:p>
    <w:p>
      <w:pPr>
        <w:pStyle w:val="SourceCode"/>
      </w:pPr>
      <w:r>
        <w:rPr>
          <w:rStyle w:val="VerbatimChar"/>
        </w:rPr>
        <w:t xml:space="preserve">[1] 7.346063</w:t>
      </w:r>
    </w:p>
    <w:p>
      <w:pPr>
        <w:pStyle w:val="SourceCode"/>
      </w:pPr>
      <w:r>
        <w:rPr>
          <w:rStyle w:val="CommentTok"/>
        </w:rPr>
        <w:t xml:space="preserve"># Plot the different sample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(samples_df,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(sample_number),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of 10 Random Samples from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Number"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6"/>
    <w:bookmarkStart w:id="10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 - s is the sample standard deviation - n is the sample size</w:t>
      </w:r>
    </w:p>
    <w:p>
      <w:pPr>
        <w:pStyle w:val="BodyText"/>
      </w:pPr>
      <w:r>
        <w:t xml:space="preserve">The standard error tells us: - How much uncertainty is in our estimate -</w:t>
      </w:r>
      <w:r>
        <w:t xml:space="preserve"> </w:t>
      </w:r>
      <w:r>
        <w:t xml:space="preserve">How much sample means are expected to vary - How close our sample mean</w:t>
      </w:r>
      <w:r>
        <w:t xml:space="preserve"> </w:t>
      </w:r>
      <w:r>
        <w:t xml:space="preserve">is likely to be to the true population mean</w:t>
      </w:r>
    </w:p>
    <w:p>
      <w:pPr>
        <w:pStyle w:val="BodyText"/>
      </w:pPr>
      <w:r>
        <w:rPr>
          <w:b/>
          <w:bCs/>
        </w:rPr>
        <w:t xml:space="preserve">Remember:</w:t>
      </w:r>
      <w:r>
        <w:t xml:space="preserve"> </w:t>
      </w:r>
      <w:r>
        <w:t xml:space="preserve">- Standard deviation (s) describes the variability in the</w:t>
      </w:r>
      <w:r>
        <w:t xml:space="preserve"> </w:t>
      </w:r>
      <w:r>
        <w:t xml:space="preserve">individual data points - Standard error (SE) describes the variability</w:t>
      </w:r>
      <w:r>
        <w:t xml:space="preserve"> </w:t>
      </w:r>
      <w:r>
        <w:t xml:space="preserve">in the sample mean itself - As sample size increases, SE decreases (more</w:t>
      </w:r>
      <w:r>
        <w:t xml:space="preserve"> </w:t>
      </w:r>
      <w:r>
        <w:t xml:space="preserve">precise estimate)</w:t>
      </w:r>
    </w:p>
    <w:bookmarkEnd w:id="107"/>
    <w:bookmarkStart w:id="108" w:name="standard-error-for-our-grayling-data"/>
    <w:p>
      <w:pPr>
        <w:pStyle w:val="Heading1"/>
      </w:pPr>
      <w:r>
        <w:rPr>
          <w:b/>
          <w:bCs/>
        </w:rPr>
        <w:t xml:space="preserve">Standard Error for Our Grayling Data</w:t>
      </w:r>
    </w:p>
    <w:p>
      <w:pPr>
        <w:pStyle w:val="FirstParagraph"/>
      </w:pPr>
      <w:r>
        <w:t xml:space="preserve">Let’s calculate and visualize the standard error for both lakes: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108"/>
    <w:bookmarkStart w:id="112" w:name="visualizing-standard-error"/>
    <w:p>
      <w:pPr>
        <w:pStyle w:val="Heading1"/>
      </w:pPr>
      <w:r>
        <w:rPr>
          <w:b/>
          <w:bCs/>
        </w:rPr>
        <w:t xml:space="preserve">Visualizing Standard Error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7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2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2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2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3"/>
        </w:numPr>
      </w:pPr>
      <w:r>
        <w:t xml:space="preserve">- The narrower the sampling distribution</w:t>
      </w:r>
    </w:p>
    <w:p>
      <w:pPr>
        <w:pStyle w:val="Compact"/>
        <w:numPr>
          <w:ilvl w:val="0"/>
          <w:numId w:val="1033"/>
        </w:numPr>
      </w:pPr>
      <w:r>
        <w:t xml:space="preserve">- The smaller the standard error</w:t>
      </w:r>
    </w:p>
    <w:p>
      <w:pPr>
        <w:pStyle w:val="Compact"/>
        <w:numPr>
          <w:ilvl w:val="0"/>
          <w:numId w:val="1033"/>
        </w:numPr>
      </w:pPr>
      <w:r>
        <w:t xml:space="preserve">- 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3"/>
    <w:bookmarkStart w:id="114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</w:p>
    <w:bookmarkEnd w:id="114"/>
    <w:bookmarkStart w:id="118" w:name="plotting-sampling-distribution"/>
    <w:p>
      <w:pPr>
        <w:pStyle w:val="Heading1"/>
      </w:pPr>
      <w:r>
        <w:rPr>
          <w:b/>
          <w:bCs/>
        </w:rPr>
        <w:t xml:space="preserve">Plotting Sampling Distribution</w:t>
      </w:r>
    </w:p>
    <w:p>
      <w:pPr>
        <w:pStyle w:val="SourceCode"/>
      </w:pP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9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numPr>
          <w:ilvl w:val="0"/>
          <w:numId w:val="1034"/>
        </w:numPr>
      </w:pPr>
      <w:r>
        <w:t xml:space="preserve">Is approximately normally distributed</w:t>
      </w:r>
    </w:p>
    <w:p>
      <w:pPr>
        <w:numPr>
          <w:ilvl w:val="0"/>
          <w:numId w:val="1034"/>
        </w:numPr>
      </w:pPr>
      <w:r>
        <w:t xml:space="preserve">Is centered around the overall sample mean</w:t>
      </w:r>
    </w:p>
    <w:p>
      <w:pPr>
        <w:numPr>
          <w:ilvl w:val="0"/>
          <w:numId w:val="1034"/>
        </w:numPr>
      </w:pPr>
      <w:r>
        <w:t xml:space="preserve">Has a spread that is related to the standard error</w:t>
      </w:r>
    </w:p>
    <w:bookmarkEnd w:id="118"/>
    <w:bookmarkStart w:id="119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9"/>
    <w:bookmarkStart w:id="123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  sample_size empirical_se theoretical_se</w:t>
      </w:r>
      <w:r>
        <w:br/>
      </w:r>
      <w:r>
        <w:rPr>
          <w:rStyle w:val="VerbatimChar"/>
        </w:rPr>
        <w:t xml:space="preserve">1           5    12.349407      12.657835</w:t>
      </w:r>
      <w:r>
        <w:br/>
      </w:r>
      <w:r>
        <w:rPr>
          <w:rStyle w:val="VerbatimChar"/>
        </w:rPr>
        <w:t xml:space="preserve">2          10     8.178270       8.950441</w:t>
      </w:r>
      <w:r>
        <w:br/>
      </w:r>
      <w:r>
        <w:rPr>
          <w:rStyle w:val="VerbatimChar"/>
        </w:rPr>
        <w:t xml:space="preserve">3          20     5.558957       6.328918</w:t>
      </w:r>
      <w:r>
        <w:br/>
      </w:r>
      <w:r>
        <w:rPr>
          <w:rStyle w:val="VerbatimChar"/>
        </w:rPr>
        <w:t xml:space="preserve">4          30     3.792177       5.167540</w:t>
      </w:r>
      <w:r>
        <w:br/>
      </w:r>
      <w:r>
        <w:rPr>
          <w:rStyle w:val="VerbatimChar"/>
        </w:rPr>
        <w:t xml:space="preserve">5          50     2.099744       4.002759</w:t>
      </w:r>
    </w:p>
    <w:p>
      <w:pPr>
        <w:pStyle w:val="SourceCode"/>
      </w:pP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1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 - The interval extends 2 standard</w:t>
      </w:r>
      <w:r>
        <w:t xml:space="preserve"> </w:t>
      </w:r>
      <w:r>
        <w:t xml:space="preserve">errors below and above the sample mean - About 95% of such intervals</w:t>
      </w:r>
      <w:r>
        <w:t xml:space="preserve"> </w:t>
      </w:r>
      <w:r>
        <w:t xml:space="preserve">constructed from different samples would contain the true population</w:t>
      </w:r>
      <w:r>
        <w:t xml:space="preserve"> </w:t>
      </w:r>
      <w:r>
        <w:t xml:space="preserve">mean</w:t>
      </w:r>
    </w:p>
    <w:p>
      <w:pPr>
        <w:pStyle w:val="BodyText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4"/>
    <w:bookmarkStart w:id="125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5"/>
    <w:bookmarkStart w:id="129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3-1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0"/>
    <w:bookmarkStart w:id="134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5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5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35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35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35"/>
        </w:numPr>
      </w:pPr>
      <w:r>
        <w:t xml:space="preserve">When reporting results, always include a measure of precision (SE or</w:t>
      </w:r>
    </w:p>
    <w:bookmarkEnd w:id="135"/>
    <w:bookmarkStart w:id="136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37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37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37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37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37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37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37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37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93" Target="media/rId93.png" /><Relationship Type="http://schemas.openxmlformats.org/officeDocument/2006/relationships/image" Id="rId68" Target="media/rId68.png" /><Relationship Type="http://schemas.openxmlformats.org/officeDocument/2006/relationships/image" Id="rId32" Target="media/rId32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1" Target="media/rId131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115" Target="media/rId115.png" /><Relationship Type="http://schemas.openxmlformats.org/officeDocument/2006/relationships/image" Id="rId54" Target="media/rId54.png" /><Relationship Type="http://schemas.openxmlformats.org/officeDocument/2006/relationships/image" Id="rId80" Target="media/rId80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2025-08-28T19:49:12Z</dcterms:created>
  <dcterms:modified xsi:type="dcterms:W3CDTF">2025-08-28T19:49:12Z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