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</w:t>
      </w:r>
      <w:r>
        <w:t xml:space="preserve">A one-sample t-test showed that the mean fish length in Lake I3 (M = [mean], SD = [sd]) was [significantly/not significantly] different from 240 mm, t([df]) = [t-value], p = [p-value].</w:t>
      </w:r>
      <w:r>
        <w:t xml:space="preserve">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</w:t>
      </w:r>
      <w:r>
        <w:t xml:space="preserve">A two-sample t-test revealed that pine needle lengths on the leeward side (M = [mean1], SD = [sd1]) were [significantly/not significantly] [longer/shorter] than on the windward side (M = [mean2], SD = [sd2]), t([df]) = [t-value], p = [p-value].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2025-05-06T15:46:28Z</dcterms:created>
  <dcterms:modified xsi:type="dcterms:W3CDTF">2025-05-06T15:46:28Z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