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 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“type”</w:t>
      </w:r>
      <w:r>
        <w:t xml:space="preserve"> </w:t>
      </w:r>
      <w:r>
        <w:t xml:space="preserve">==</w:t>
      </w:r>
      <w:r>
        <w:t xml:space="preserve"> </w:t>
      </w:r>
      <w:r>
        <w:t xml:space="preserve">“speak”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“island rule”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“Foster’s rule”</w:t>
      </w:r>
      <w:r>
        <w:t xml:space="preserve"> </w:t>
      </w:r>
      <w:r>
        <w:t xml:space="preserve">or the</w:t>
      </w:r>
      <w:r>
        <w:t xml:space="preserve"> </w:t>
      </w:r>
      <w:r>
        <w:t xml:space="preserve">“island effect”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2025-05-28T01:30:43Z</dcterms:created>
  <dcterms:modified xsi:type="dcterms:W3CDTF">2025-05-28T01:30:43Z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