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t xml:space="preserve">speak</w:t>
      </w:r>
      <w:r>
        <w:t xml:space="preserve">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</w:t>
      </w:r>
      <w:r>
        <w:t xml:space="preserve">island rule</w:t>
      </w:r>
      <w:r>
        <w:t xml:space="preserve">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</w:t>
      </w:r>
      <w:r>
        <w:t xml:space="preserve">Foster’s rule</w:t>
      </w:r>
      <w:r>
        <w:t xml:space="preserve">”</w:t>
      </w:r>
      <w:r>
        <w:t xml:space="preserve"> </w:t>
      </w:r>
      <w:r>
        <w:t xml:space="preserve">or the</w:t>
      </w:r>
      <w:r>
        <w:t xml:space="preserve"> </w:t>
      </w:r>
      <w:r>
        <w:t xml:space="preserve">“</w:t>
      </w:r>
      <w:r>
        <w:t xml:space="preserve">island effect</w:t>
      </w:r>
      <w:r>
        <w:t xml:space="preserve">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2025-04-01T21:31:04Z</dcterms:created>
  <dcterms:modified xsi:type="dcterms:W3CDTF">2025-04-01T21:31:04Z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