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 the assumptions may or may not hold</w:t>
      </w:r>
    </w:p>
    <w:p>
      <w:pPr>
        <w:pStyle w:val="BodyText"/>
      </w:pPr>
      <w:r>
        <w:t xml:space="preserve">This is easily translated into any of the other dataframes you might 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 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 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 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 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 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 outliers are present (but both groups should still have similar 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 line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 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 sizes and 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 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 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 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 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 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 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 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 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 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 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 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 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 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 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 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 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 assumes similar distributions and approximate equal variance 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 distribution - Can be applied to many types of test statistics - Handles 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 under the null hypothesis 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 characteristics, not just convenience. 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2025-09-09T15:36:54Z</dcterms:created>
  <dcterms:modified xsi:type="dcterms:W3CDTF">2025-09-09T15:36:54Z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