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 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 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 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 clear predictors - Examples: PCA, NMDS, Cluster Analysis</w:t>
      </w:r>
    </w:p>
    <w:bookmarkEnd w:id="3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 variables. Goal is to relate Ys to Xs (regression, MANOVA, ANOSIM, 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 data. Often no clear predictor variables (PCA, NMDS, Cluster 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 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 objects - Visualize relationships between objects - Examples: NMDS, Cluster Analysis</w:t>
      </w:r>
    </w:p>
    <w:bookmarkEnd w:id="51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 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 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 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 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 variables to new derived variable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 derived variable, while eigenvectors contain the coefficients showing 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 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 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 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 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 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 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 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 eigenvectors, since linearizing relationships bw variables will 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 recommended”</w:t>
      </w:r>
      <w:r>
        <w:t xml:space="preserve"> </w:t>
      </w:r>
      <w:r>
        <w:t xml:space="preserve">for analysis of species composition data (each variable is a species w counts- MDS, cluster analysis). Idea is to lessen 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 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 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 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 Standardization: divide by SD (SD = 1) - Crucial for variables with different units - May not be appropriate for species data</w:t>
      </w:r>
    </w:p>
    <w:bookmarkEnd w:id="100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 regardless of their original units or scales of measurement. Without it, 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 variables - Detected with Mahalanobis distance (d²) - Test against χ² 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 affected object or variable - Imputation: estimate missing values - Maximum likelihood methods - Multiple imputation</w:t>
      </w:r>
    </w:p>
    <w:bookmarkEnd w:id="11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 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 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 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 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 (relatively robust - No outliers (use di2 to diagnose; very 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 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 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 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 considering all four morphological measurements simultaneously in 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 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 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 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 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 differences - they are very well separated in the 4-dimensional morphological space, with species explaining nearly 98% of the 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 assumptions are met, while Pillai’s trace is more robust to assumption 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 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 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 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 in multivariate morphological space - Only 2.3% of the variation in the four measurements is due to within-species differences - Species membership explains nearly all the multivariate variation - This represents one of the strongest group separations possible in real 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 morphological profiles - they are essentially non-overlapping in the 4-dimensional space of sepal/petal measurements. This effect size indicates that species is an extremely powerful predictor of 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 the between-group variance - This dimension captures almost all the 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 the between-group variance - This dimension captures the remaining small 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 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 space that best separates the three iris species, with a very minor 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 separation using just the first canonical variate, though plotting both 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 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 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 sepal measurements, negative for petal measurements - Separates 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 sepal width vs petal width - Fine-tunes separation between versicolor 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 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 discrimination - Confirms the separation is essentially one-dimensional 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 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 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2025-09-09T15:38:01Z</dcterms:created>
  <dcterms:modified xsi:type="dcterms:W3CDTF">2025-09-09T15:38:01Z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