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 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 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 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 clear predictors - Examples: PCA, NMDS, Cluster Analysis</w:t>
      </w:r>
    </w:p>
    <w:bookmarkEnd w:id="3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 variables. Goal is to relate Ys to Xs (regression, MANOVA, ANOSIM, 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 data. Often no clear predictor variables (PCA, NMDS, Cluster 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 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 objects - Visualize relationships between objects - Examples: NMDS, Cluster Analysis</w:t>
      </w:r>
    </w:p>
    <w:bookmarkEnd w:id="51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 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 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 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 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 variables to new derived variable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 derived variable, while eigenvectors contain the coefficients showing 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 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 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 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 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 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 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 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 eigenvectors, since linearizing relationships bw variables will 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 recommended”</w:t>
      </w:r>
      <w:r>
        <w:t xml:space="preserve"> </w:t>
      </w:r>
      <w:r>
        <w:t xml:space="preserve">for analysis of species composition data (each variable is a species w counts- MDS, cluster analysis). Idea is to lessen 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 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 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 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 Standardization: divide by SD (SD = 1) - Crucial for variables with different units - May not be appropriate for species data</w:t>
      </w:r>
    </w:p>
    <w:bookmarkEnd w:id="100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 regardless of their original units or scales of measurement. Without it, 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 variables - Detected with Mahalanobis distance (d²) - Test against χ² 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 affected object or variable - Imputation: estimate missing values - Maximum likelihood methods - Multiple imputation</w:t>
      </w:r>
    </w:p>
    <w:bookmarkEnd w:id="11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 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 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 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 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 (relatively robust - No outliers (use di2 to diagnose; very 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 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 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 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 considering all four morphological measurements simultaneously in 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 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 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 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 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 differences - they are very well separated in the 4-dimensional morphological space, with species explaining nearly 98% of the 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 assumptions are met, while Pillai’s trace is more robust to assumption 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 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 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 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 in multivariate morphological space - Only 2.3% of the variation in the four measurements is due to within-species differences - Species membership explains nearly all the multivariate variation - This represents one of the strongest group separations possible in real 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 morphological profiles - they are essentially non-overlapping in the 4-dimensional space of sepal/petal measurements. This effect size indicates that species is an extremely powerful predictor of 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 the between-group variance - This dimension captures almost all the 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 the between-group variance - This dimension captures the remaining small 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 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 space that best separates the three iris species, with a very minor 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 separation using just the first canonical variate, though plotting both 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 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 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 sepal measurements, negative for petal measurements - Separates 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 sepal width vs petal width - Fine-tunes separation between versicolor 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 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 discrimination - Confirms the separation is essentially one-dimensional 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 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 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2025-08-14T16:01:18Z</dcterms:created>
  <dcterms:modified xsi:type="dcterms:W3CDTF">2025-08-14T16:01:18Z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