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89.png" ContentType="image/png"/>
  <Override PartName="/word/media/rId106.png" ContentType="image/png"/>
  <Override PartName="/word/media/rId111.png" ContentType="image/png"/>
  <Override PartName="/word/media/rId118.png" ContentType="image/png"/>
  <Override PartName="/word/media/rId32.png" ContentType="image/png"/>
  <Override PartName="/word/media/rId42.png" ContentType="image/png"/>
  <Override PartName="/word/media/rId49.png" ContentType="image/png"/>
  <Override PartName="/word/media/rId60.png" ContentType="image/png"/>
  <Override PartName="/word/media/rId70.png" ContentType="image/png"/>
  <Override PartName="/word/media/rId75.png" ContentType="image/png"/>
  <Override PartName="/word/media/rId53.png" ContentType="image/png"/>
  <Override PartName="/word/media/rId20.png" ContentType="image/png"/>
  <Override PartName="/word/media/rId26.png" ContentType="image/png"/>
  <Override PartName="/word/media/rId100.png" ContentType="image/png"/>
  <Override PartName="/word/media/rId94.png" ContentType="image/png"/>
  <Override PartName="/word/media/rId137.png" ContentType="image/png"/>
  <Override PartName="/word/media/rId141.png" ContentType="image/png"/>
  <Override PartName="/word/media/rId126.png" ContentType="image/png"/>
  <Override PartName="/word/media/rId65.png" ContentType="image/png"/>
  <Override PartName="/word/media/rId133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0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9" w:name="whats-the-difference"/>
    <w:p>
      <w:pPr>
        <w:pStyle w:val="Heading3"/>
      </w:pPr>
      <w:r>
        <w:t xml:space="preserve">What’s the Difference?</w:t>
      </w:r>
    </w:p>
    <w:p>
      <w:pPr>
        <w:pStyle w:val="FirstParagraph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p>
      <w:pPr>
        <w:pStyle w:val="FirstParagraph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</w:t>
      </w:r>
    </w:p>
    <w:p>
      <w:pPr>
        <w:pStyle w:val="Compact"/>
        <w:numPr>
          <w:ilvl w:val="0"/>
          <w:numId w:val="1005"/>
        </w:numPr>
      </w:pPr>
      <w:r>
        <w:t xml:space="preserve">Estimates slope and intercept parameters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bookmarkStart w:id="35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1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1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6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6"/>
    <w:bookmarkStart w:id="37" w:name="note-that-it-is-tested-by-texttfracrse_r"/>
    <w:p>
      <w:pPr>
        <w:pStyle w:val="Heading3"/>
      </w:pPr>
      <w:r>
        <w:t xml:space="preserve">Note that it is tested by: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7"/>
    <w:bookmarkEnd w:id="38"/>
    <w:bookmarkStart w:id="45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9"/>
    <w:bookmarkStart w:id="40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0"/>
    <w:bookmarkStart w:id="41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1"/>
    <w:p>
      <w:pPr>
        <w:pStyle w:val="BodyText"/>
      </w:pPr>
      <w:r>
        <w:drawing>
          <wp:inline>
            <wp:extent cx="2743200" cy="3657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6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6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7"/>
    <w:bookmarkStart w:id="52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4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7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6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SourceCode"/>
      </w:pP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fig-height: 5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br/>
      </w:r>
      <w:r>
        <w:rPr>
          <w:rStyle w:val="NormalTok"/>
        </w:rPr>
        <w:t xml:space="preserve">p1_lion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(lion_data,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 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p2_lion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(lion_data,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p3_lion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(lion_data,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proportion_black))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Prop 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p4_lion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(lion_data,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for 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the plots</w:t>
      </w:r>
      <w:r>
        <w:br/>
      </w:r>
      <w:r>
        <w:rPr>
          <w:rStyle w:val="NormalTok"/>
        </w:rPr>
        <w:t xml:space="preserve">(p1_lion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p2_lion)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(p3_lion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p4_lion)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8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58"/>
    <w:bookmarkStart w:id="63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9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FirstParagraph"/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0"/>
          <w:numId w:val="1011"/>
        </w:numPr>
      </w:pPr>
      <w:r>
        <w:t xml:space="preserve">Restricting range of values can reduce the correlation coefficient</w:t>
      </w:r>
    </w:p>
    <w:p>
      <w:pPr>
        <w:pStyle w:val="Compact"/>
        <w:numPr>
          <w:ilvl w:val="0"/>
          <w:numId w:val="1011"/>
        </w:numPr>
      </w:pPr>
      <w:r>
        <w:t xml:space="preserve">Comparing correlations between studies requires similar ranges of</w:t>
      </w:r>
      <w:r>
        <w:t xml:space="preserve"> </w:t>
      </w:r>
      <w:r>
        <w:t xml:space="preserve">values</w:t>
      </w:r>
    </w:p>
    <w:p>
      <w:pPr>
        <w:pStyle w:val="FirstParagraph"/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0"/>
          <w:numId w:val="1012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0"/>
          <w:numId w:val="1012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0"/>
          <w:numId w:val="1012"/>
        </w:numPr>
      </w:pPr>
      <w:r>
        <w:t xml:space="preserve">True correlation typically stronger than observed correlation</w:t>
      </w:r>
    </w:p>
    <w:p>
      <w:pPr>
        <w:pStyle w:val="FirstParagraph"/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0"/>
          <w:numId w:val="1013"/>
        </w:numPr>
      </w:pPr>
      <w:r>
        <w:t xml:space="preserve">Correlation does not imply causation</w:t>
      </w:r>
    </w:p>
    <w:p>
      <w:pPr>
        <w:pStyle w:val="Compact"/>
        <w:numPr>
          <w:ilvl w:val="0"/>
          <w:numId w:val="1013"/>
        </w:numPr>
      </w:pPr>
      <w:r>
        <w:t xml:space="preserve">Three possible explanations for correlation:</w:t>
      </w:r>
    </w:p>
    <w:p>
      <w:pPr>
        <w:pStyle w:val="Compact"/>
        <w:numPr>
          <w:ilvl w:val="1"/>
          <w:numId w:val="1014"/>
        </w:numPr>
      </w:pPr>
      <w:r>
        <w:t xml:space="preserve">X causes Y</w:t>
      </w:r>
    </w:p>
    <w:p>
      <w:pPr>
        <w:pStyle w:val="Compact"/>
        <w:numPr>
          <w:ilvl w:val="1"/>
          <w:numId w:val="1014"/>
        </w:numPr>
      </w:pPr>
      <w:r>
        <w:t xml:space="preserve">Y causes X</w:t>
      </w:r>
    </w:p>
    <w:p>
      <w:pPr>
        <w:pStyle w:val="Compact"/>
        <w:numPr>
          <w:ilvl w:val="1"/>
          <w:numId w:val="1014"/>
        </w:numPr>
      </w:pPr>
      <w:r>
        <w:t xml:space="preserve">Z (a third variable) causes both X and Y</w:t>
      </w:r>
    </w:p>
    <w:p>
      <w:pPr>
        <w:pStyle w:val="FirstParagraph"/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0"/>
          <w:numId w:val="1015"/>
        </w:numPr>
      </w:pPr>
      <w:r>
        <w:t xml:space="preserve">H₀: ρ = 0 (no correlation in population)</w:t>
      </w:r>
    </w:p>
    <w:p>
      <w:pPr>
        <w:pStyle w:val="Compact"/>
        <w:numPr>
          <w:ilvl w:val="0"/>
          <w:numId w:val="1015"/>
        </w:numPr>
      </w:pPr>
      <w:r>
        <w:t xml:space="preserve">H₁: ρ ≠ 0 (correlation exists in population)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statistic: t = r / SE(r) with df = n-2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4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w:r>
        <w:t xml:space="preserve">Y is the response variable</w:t>
      </w:r>
    </w:p>
    <w:p>
      <w:pPr>
        <w:pStyle w:val="Compact"/>
        <w:numPr>
          <w:ilvl w:val="0"/>
          <w:numId w:val="1016"/>
        </w:numPr>
      </w:pPr>
      <w:r>
        <w:t xml:space="preserve">X is the predictor variable</w:t>
      </w:r>
    </w:p>
    <w:p>
      <w:pPr>
        <w:pStyle w:val="Compact"/>
        <w:numPr>
          <w:ilvl w:val="0"/>
          <w:numId w:val="1016"/>
        </w:numPr>
      </w:pPr>
      <w:r>
        <w:t xml:space="preserve">α (alpha) is the intercept (value of Y when X=0)</w:t>
      </w:r>
    </w:p>
    <w:p>
      <w:pPr>
        <w:pStyle w:val="Compact"/>
        <w:numPr>
          <w:ilvl w:val="0"/>
          <w:numId w:val="1016"/>
        </w:numPr>
      </w:pPr>
      <w:r>
        <w:t xml:space="preserve">β (beta) is the slope (change in Y per unit change in X)</w:t>
      </w:r>
    </w:p>
    <w:p>
      <w:pPr>
        <w:pStyle w:val="Compact"/>
        <w:numPr>
          <w:ilvl w:val="0"/>
          <w:numId w:val="1016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0"/>
          <w:numId w:val="1017"/>
        </w:numPr>
      </w:pPr>
      <w:r>
        <w:t xml:space="preserve">a is the estimate of α (intercept)</w:t>
      </w:r>
    </w:p>
    <w:p>
      <w:pPr>
        <w:pStyle w:val="Compact"/>
        <w:numPr>
          <w:ilvl w:val="0"/>
          <w:numId w:val="1017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4"/>
    <w:p>
      <w:pPr>
        <w:pStyle w:val="BodyText"/>
      </w:pPr>
      <w:r>
        <w:drawing>
          <wp:inline>
            <wp:extent cx="3133725" cy="8418962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3360244964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41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3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9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8"/>
        </w:numPr>
      </w:pPr>
      <w:r>
        <w:t xml:space="preserve">Y is the response variable</w:t>
      </w:r>
    </w:p>
    <w:p>
      <w:pPr>
        <w:numPr>
          <w:ilvl w:val="0"/>
          <w:numId w:val="1018"/>
        </w:numPr>
      </w:pPr>
      <w:r>
        <w:t xml:space="preserve">X is the predictor variable</w:t>
      </w:r>
    </w:p>
    <w:p>
      <w:pPr>
        <w:numPr>
          <w:ilvl w:val="0"/>
          <w:numId w:val="1018"/>
        </w:numPr>
      </w:pPr>
      <w:r>
        <w:t xml:space="preserve">α (alpha) is the intercept (value of Y when X=0)</w:t>
      </w:r>
    </w:p>
    <w:p>
      <w:pPr>
        <w:numPr>
          <w:ilvl w:val="0"/>
          <w:numId w:val="1018"/>
        </w:numPr>
      </w:pPr>
      <w:r>
        <w:t xml:space="preserve">β (beta) is the slope (change in Y per unit change in X)</w:t>
      </w:r>
    </w:p>
    <w:p>
      <w:pPr>
        <w:numPr>
          <w:ilvl w:val="0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9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numPr>
          <w:ilvl w:val="0"/>
          <w:numId w:val="1019"/>
        </w:numPr>
      </w:pPr>
      <w:r>
        <w:t xml:space="preserve">a is the estimate of α (intercept)</w:t>
      </w:r>
    </w:p>
    <w:p>
      <w:pPr>
        <w:numPr>
          <w:ilvl w:val="0"/>
          <w:numId w:val="1019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9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8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4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 - When a lion has no black on its nose (proportion = 0), its</w:t>
      </w:r>
      <w:r>
        <w:t xml:space="preserve"> </w:t>
      </w:r>
      <w:r>
        <w:t xml:space="preserve">predicted age is 0.88 years - For each 0.1 increase in the proportion of</w:t>
      </w:r>
      <w:r>
        <w:t xml:space="preserve"> </w:t>
      </w:r>
      <w:r>
        <w:t xml:space="preserve">black, age increases by 1.065 years - The slope (10.65) indicates that</w:t>
      </w:r>
      <w:r>
        <w:t xml:space="preserve"> </w:t>
      </w:r>
      <w:r>
        <w:t xml:space="preserve">lions with more black on their noses tend to be older</w:t>
      </w:r>
    </w:p>
    <w:bookmarkEnd w:id="74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9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0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0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9"/>
    <w:bookmarkEnd w:id="80"/>
    <w:bookmarkStart w:id="85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(b)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Given: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  <w:r>
        <w:t xml:space="preserve"> </w:t>
      </w: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BodyText"/>
      </w:pPr>
      <w:r>
        <w:t xml:space="preserve">b = 13.0123 / 1.2221 = 10.647</w:t>
      </w:r>
    </w:p>
    <w:p>
      <w:pPr>
        <w:pStyle w:val="BodyText"/>
      </w:pPr>
      <w:r>
        <w:t xml:space="preserve">Intercept (a):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b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p>
      <w:pPr>
        <w:pStyle w:val="BodyText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1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7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6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22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22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species_number log_stability</w:t>
      </w:r>
      <w:r>
        <w:br/>
      </w:r>
      <w:r>
        <w:rPr>
          <w:rStyle w:val="VerbatimChar"/>
        </w:rPr>
        <w:t xml:space="preserve">           &lt;dbl&gt;         &lt;dbl&gt;</w:t>
      </w:r>
      <w:r>
        <w:br/>
      </w:r>
      <w:r>
        <w:rPr>
          <w:rStyle w:val="VerbatimChar"/>
        </w:rPr>
        <w:t xml:space="preserve">1              1         0.763</w:t>
      </w:r>
      <w:r>
        <w:br/>
      </w:r>
      <w:r>
        <w:rPr>
          <w:rStyle w:val="VerbatimChar"/>
        </w:rPr>
        <w:t xml:space="preserve">2              1         1.45 </w:t>
      </w:r>
      <w:r>
        <w:br/>
      </w:r>
      <w:r>
        <w:rPr>
          <w:rStyle w:val="VerbatimChar"/>
        </w:rPr>
        <w:t xml:space="preserve">3              1         1.51 </w:t>
      </w:r>
      <w:r>
        <w:br/>
      </w:r>
      <w:r>
        <w:rPr>
          <w:rStyle w:val="VerbatimChar"/>
        </w:rPr>
        <w:t xml:space="preserve">4              1         0.747</w:t>
      </w:r>
      <w:r>
        <w:br/>
      </w:r>
      <w:r>
        <w:rPr>
          <w:rStyle w:val="VerbatimChar"/>
        </w:rPr>
        <w:t xml:space="preserve">5              1         0.983</w:t>
      </w:r>
      <w:r>
        <w:br/>
      </w:r>
      <w:r>
        <w:rPr>
          <w:rStyle w:val="VerbatimChar"/>
        </w:rPr>
        <w:t xml:space="preserve">6              1         1.12 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[1] "rsquared is:  0.148953385305455"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6"/>
    <w:bookmarkEnd w:id="87"/>
    <w:bookmarkStart w:id="92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23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23"/>
        </w:numPr>
      </w:pPr>
      <w:r>
        <w:t xml:space="preserve">H₁: β ≠ 0 (species number does affect stability)</w:t>
      </w:r>
    </w:p>
    <w:bookmarkStart w:id="88" w:name="Xc23b8c32fe58924407392bb1acfc082a2222e7c"/>
    <w:p>
      <w:pPr>
        <w:pStyle w:val="Heading3"/>
      </w:pPr>
      <w:r>
        <w:t xml:space="preserve">The test statistic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b</m:t>
                </m:r>
              </m:sub>
            </m:sSub>
          </m:den>
        </m:f>
      </m:oMath>
    </w:p>
    <w:p>
      <w:pPr>
        <w:pStyle w:val="FirstParagraph"/>
      </w:pPr>
      <w:r>
        <w:t xml:space="preserve">With df = n - 2 = 161 - 2 = 159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bookmarkEnd w:id="88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7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25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25"/>
        </w:numPr>
      </w:pPr>
      <w:r>
        <w:t xml:space="preserve">has the same variance</w:t>
      </w:r>
    </w:p>
    <w:p>
      <w:pPr>
        <w:numPr>
          <w:ilvl w:val="0"/>
          <w:numId w:val="1025"/>
        </w:numPr>
      </w:pPr>
      <w:r>
        <w:t xml:space="preserve">has a mean of 0 at each xi</w:t>
      </w:r>
    </w:p>
    <w:bookmarkEnd w:id="93"/>
    <w:p>
      <w:pPr>
        <w:pStyle w:val="FirstParagraph"/>
      </w:pPr>
      <w:r>
        <w:drawing>
          <wp:inline>
            <wp:extent cx="6578600" cy="374699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2092034232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746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8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7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or Mean Squared Error</w:t>
      </w:r>
      <w:r>
        <w:t xml:space="preserve"> </w:t>
      </w:r>
      <w:r>
        <w:t xml:space="preserve">(MSE) as</w:t>
      </w:r>
    </w:p>
    <w:bookmarkEnd w:id="98"/>
    <w:bookmarkStart w:id="99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99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1411052425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section"/>
    <w:p>
      <w:pPr>
        <w:pStyle w:val="Heading1"/>
      </w:pPr>
    </w:p>
    <w:bookmarkEnd w:id="104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5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6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6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7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17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32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32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32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clipboard-934594306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9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33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33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clipboard-2817787184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2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5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5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36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36"/>
        </w:numPr>
      </w:pPr>
      <w:r>
        <w:t xml:space="preserve">dfs= n-2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37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37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clipboard-2817787184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9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9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0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0"/>
        </w:numPr>
      </w:pPr>
      <w:r>
        <w:t xml:space="preserve">dfs= n-2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1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1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15122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77063277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51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GREATER IN C than D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GREATER IN B THAN A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6578600" cy="4725766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clipboard-21715154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725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4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45"/>
        </w:numPr>
      </w:pPr>
      <w:r>
        <w:t xml:space="preserve">Sums of Squares depends on n</w:t>
      </w:r>
    </w:p>
    <w:p>
      <w:pPr>
        <w:pStyle w:val="Compact"/>
        <w:numPr>
          <w:ilvl w:val="0"/>
          <w:numId w:val="1045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images/clipboard-2758972276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Start w:id="147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46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46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2758972276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image" Id="rId89" Target="media/rId89.png" /><Relationship Type="http://schemas.openxmlformats.org/officeDocument/2006/relationships/image" Id="rId106" Target="media/rId106.png" /><Relationship Type="http://schemas.openxmlformats.org/officeDocument/2006/relationships/image" Id="rId111" Target="media/rId111.png" /><Relationship Type="http://schemas.openxmlformats.org/officeDocument/2006/relationships/image" Id="rId118" Target="media/rId118.png" /><Relationship Type="http://schemas.openxmlformats.org/officeDocument/2006/relationships/image" Id="rId32" Target="media/rId32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image" Id="rId53" Target="media/rId53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100" Target="media/rId100.png" /><Relationship Type="http://schemas.openxmlformats.org/officeDocument/2006/relationships/image" Id="rId94" Target="media/rId94.png" /><Relationship Type="http://schemas.openxmlformats.org/officeDocument/2006/relationships/image" Id="rId137" Target="media/rId137.png" /><Relationship Type="http://schemas.openxmlformats.org/officeDocument/2006/relationships/image" Id="rId141" Target="media/rId141.png" /><Relationship Type="http://schemas.openxmlformats.org/officeDocument/2006/relationships/image" Id="rId126" Target="media/rId126.png" /><Relationship Type="http://schemas.openxmlformats.org/officeDocument/2006/relationships/image" Id="rId65" Target="media/rId65.png" /><Relationship Type="http://schemas.openxmlformats.org/officeDocument/2006/relationships/image" Id="rId133" Target="media/rId133.png" /><Relationship Type="http://schemas.openxmlformats.org/officeDocument/2006/relationships/image" Id="rId122" Target="media/rId1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2025-09-24T16:19:20Z</dcterms:created>
  <dcterms:modified xsi:type="dcterms:W3CDTF">2025-09-24T16:19:20Z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