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0"/>
          <w:numId w:val="1051"/>
        </w:numPr>
      </w:pPr>
      <w:r>
        <w:t xml:space="preserve">Specifically for comparing treatment groups to control</w:t>
      </w:r>
    </w:p>
    <w:p>
      <w:pPr>
        <w:pStyle w:val="Compact"/>
        <w:numPr>
          <w:ilvl w:val="0"/>
          <w:numId w:val="1051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6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2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2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2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3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3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4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5"/>
        </w:numPr>
      </w:pPr>
      <w:r>
        <w:t xml:space="preserve">Random effects: sampling from a larger population</w:t>
      </w:r>
    </w:p>
    <w:bookmarkEnd w:id="119"/>
    <w:bookmarkEnd w:id="120"/>
    <w:bookmarkStart w:id="121" w:name="section"/>
    <w:p>
      <w:pPr>
        <w:pStyle w:val="Heading1"/>
      </w:pPr>
    </w:p>
    <w:bookmarkEnd w:id="1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2025-10-11T18:52:12Z</dcterms:created>
  <dcterms:modified xsi:type="dcterms:W3CDTF">2025-10-11T18:52:12Z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