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 variables:</w:t>
      </w:r>
    </w:p>
    <w:p>
      <w:pPr>
        <w:pStyle w:val="Compact"/>
        <w:numPr>
          <w:ilvl w:val="0"/>
          <w:numId w:val="1001"/>
        </w:numPr>
      </w:pPr>
      <w:r>
        <w:t xml:space="preserve">treat: Urchin density treatment (Control, 66% Density, 33% Density, 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 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 from normality, particularly in the tails, and Levene’s test indicates significant heterogeneity of variances across treatments (F = (xxxxx). As noted by Quinn &amp; Keough (2002), there were</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chose to analyze untransformed data. The residuals vs. fitted plot also shows a pattern of increasing variance with increasing fitted 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 patch received only one treatment level. This hierarchical design is 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 treatment</w:t>
      </w:r>
      <w:r>
        <w:t xml:space="preserve"> </w:t>
      </w:r>
      <m:oMath>
        <m:r>
          <m:t>i</m:t>
        </m:r>
      </m:oMath>
      <w:r>
        <w:t xml:space="preserve"> </w:t>
      </w: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 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 ANOVA (p = xxxxx), we can still examine the mean differences between 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 approach</w:t>
      </w:r>
    </w:p>
    <w:p>
      <w:pPr>
        <w:pStyle w:val="FirstParagraph"/>
      </w:pPr>
      <w:r>
        <w:t xml:space="preserve">In both methods, the key ecological finding is the strong spatial heterogeneity in algal cover that overrides the grazing effect of 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2025-09-29T15:59:56Z</dcterms:created>
  <dcterms:modified xsi:type="dcterms:W3CDTF">2025-09-29T15:59:56Z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