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90.png" ContentType="image/png"/>
  <Override PartName="/word/media/rId86.png" ContentType="image/png"/>
  <Override PartName="/word/media/rId78.png" ContentType="image/png"/>
  <Override PartName="/word/media/rId95.png" ContentType="image/png"/>
  <Override PartName="/word/media/rId70.png" ContentType="image/png"/>
  <Override PartName="/word/media/rId32.png" ContentType="image/png"/>
  <Override PartName="/word/media/rId122.png" ContentType="image/png"/>
  <Override PartName="/word/media/rId128.png" ContentType="image/png"/>
  <Override PartName="/word/media/rId133.png" ContentType="image/png"/>
  <Override PartName="/word/media/rId105.png" ContentType="image/png"/>
  <Override PartName="/word/media/rId111.png" ContentType="image/png"/>
  <Override PartName="/word/media/rId117.png" ContentType="image/png"/>
  <Override PartName="/word/media/rId56.png" ContentType="image/png"/>
  <Override PartName="/word/media/rId82.png" ContentType="image/png"/>
  <Override PartName="/word/media/rId20.png" ContentType="image/png"/>
  <Override PartName="/word/media/rId24.jpg" ContentType="image/jpe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bookmarkStart w:id="23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BodyText"/>
      </w:pPr>
      <w:r>
        <w:t xml:space="preserve">TGW - yep its a thing</w:t>
      </w:r>
    </w:p>
    <w:p>
      <w:pPr>
        <w:pStyle w:val="BodyText"/>
      </w:pPr>
      <w:r>
        <w:t xml:space="preserve">ODO - what do you think it is?</w:t>
      </w:r>
    </w:p>
    <w:p>
      <w:pPr>
        <w:pStyle w:val="BodyText"/>
      </w:pPr>
      <w:r>
        <w:t xml:space="preserve">NO3 - what is it? Are you sure? Why might you get in legal trouble if</w:t>
      </w:r>
      <w:r>
        <w:t xml:space="preserve"> </w:t>
      </w:r>
      <w:r>
        <w:t xml:space="preserve">you used this?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54461408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1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27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4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4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4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4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4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4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` 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grayling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p>
      <w:pPr>
        <w:pStyle w:val="BodyText"/>
      </w:pPr>
      <w:r>
        <w:drawing>
          <wp:inline>
            <wp:extent cx="2200275" cy="28194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pop_sample_stat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0275" cy="2819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0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06"/>
        </w:numPr>
      </w:pPr>
      <w:r>
        <w:t xml:space="preserve">Responses occur with some characteristic probability, not with</w:t>
      </w:r>
      <w:r>
        <w:t xml:space="preserve"> </w:t>
      </w:r>
      <w:r>
        <w:t xml:space="preserve">certainty</w:t>
      </w:r>
    </w:p>
    <w:p>
      <w:pPr>
        <w:pStyle w:val="Compact"/>
        <w:numPr>
          <w:ilvl w:val="0"/>
          <w:numId w:val="100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0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07"/>
        </w:numPr>
      </w:pPr>
      <w:r>
        <w:t xml:space="preserve">Some variation is heritable</w:t>
      </w:r>
    </w:p>
    <w:p>
      <w:pPr>
        <w:pStyle w:val="Compact"/>
        <w:numPr>
          <w:ilvl w:val="1"/>
          <w:numId w:val="100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0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05"/>
        </w:numPr>
      </w:pPr>
      <w:r>
        <w:t xml:space="preserve">Measurements include error</w:t>
      </w:r>
    </w:p>
    <w:p>
      <w:pPr>
        <w:pStyle w:val="Compact"/>
        <w:numPr>
          <w:ilvl w:val="0"/>
          <w:numId w:val="100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0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0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9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histogram?- see activity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39"/>
    <w:bookmarkStart w:id="42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Population</w:t>
      </w:r>
      <w:r>
        <w:t xml:space="preserve">: The entire group of things under consideration; the</w:t>
      </w:r>
      <w:r>
        <w:t xml:space="preserve"> </w:t>
      </w:r>
      <w:r>
        <w:t xml:space="preserve">group for which answers obtained from measurements and statistical</w:t>
      </w:r>
      <w:r>
        <w:t xml:space="preserve"> </w:t>
      </w:r>
      <w:r>
        <w:t xml:space="preserve">analysis are pertinent.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Sample</w:t>
      </w:r>
      <w:r>
        <w:t xml:space="preserve">: A subset of the population that is actually measured.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Sample unit</w:t>
      </w:r>
      <w:r>
        <w:t xml:space="preserve">: The individual thing drawn from the population.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Observational population</w:t>
      </w:r>
      <w:r>
        <w:t xml:space="preserve">: Usually finite but may be very large</w:t>
      </w:r>
      <w:r>
        <w:t xml:space="preserve"> </w:t>
      </w:r>
      <w:r>
        <w:t xml:space="preserve">(e.g., head width of all corn earworms in a field)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Experimental population</w:t>
      </w:r>
      <w:r>
        <w:t xml:space="preserve">: Often conceptually infinite (e.g., all</w:t>
      </w:r>
      <w:r>
        <w:t xml:space="preserve"> </w:t>
      </w:r>
      <w:r>
        <w:t xml:space="preserve">possible goldenrod plants that could receive a specific fertilizer</w:t>
      </w:r>
      <w:r>
        <w:t xml:space="preserve"> </w:t>
      </w:r>
      <w:r>
        <w:t xml:space="preserve">treatment)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11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2019300" cy="2828925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pop_sample_stat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9300" cy="282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5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3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3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t xml:space="preserve">The standard deviation formula above includes n-1 in the denominator</w:t>
      </w:r>
      <w:r>
        <w:t xml:space="preserve"> </w:t>
      </w:r>
      <w:r>
        <w:t xml:space="preserve">(rather than n) to provide an unbiased estimate of the population</w:t>
      </w:r>
      <w:r>
        <w:t xml:space="preserve"> </w:t>
      </w:r>
      <w:r>
        <w:t xml:space="preserve">parameter.</w:t>
      </w:r>
    </w:p>
    <w:p>
      <w:pPr>
        <w:pStyle w:val="BodyText"/>
      </w:pPr>
      <w:r>
        <w:drawing>
          <wp:inline>
            <wp:extent cx="1819275" cy="2657475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pop_sample_stat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275" cy="2657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lecture-3-kinds-of-biological-variables"/>
    <w:p>
      <w:pPr>
        <w:pStyle w:val="Heading1"/>
      </w:pPr>
      <w:r>
        <w:t xml:space="preserve">Lecture 3: Kinds of Biological Variables</w:t>
      </w:r>
    </w:p>
    <w:bookmarkStart w:id="46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46"/>
    <w:bookmarkStart w:id="47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47"/>
    <w:bookmarkStart w:id="48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5"/>
        </w:numPr>
      </w:pPr>
      <w:r>
        <w:t xml:space="preserve">Assign only order, not quantity</w:t>
      </w:r>
    </w:p>
    <w:p>
      <w:pPr>
        <w:pStyle w:val="Compact"/>
        <w:numPr>
          <w:ilvl w:val="0"/>
          <w:numId w:val="1015"/>
        </w:numPr>
      </w:pPr>
      <w:r>
        <w:t xml:space="preserve">Nothing implied about relative distance between values</w:t>
      </w:r>
    </w:p>
    <w:bookmarkEnd w:id="48"/>
    <w:bookmarkStart w:id="49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6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6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49"/>
    <w:bookmarkEnd w:id="50"/>
    <w:bookmarkStart w:id="52" w:name="lecture-3-derived-variables"/>
    <w:p>
      <w:pPr>
        <w:pStyle w:val="Heading1"/>
      </w:pPr>
      <w:r>
        <w:t xml:space="preserve">Lecture 3: Derived Variables</w:t>
      </w:r>
    </w:p>
    <w:bookmarkStart w:id="51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51"/>
    <w:bookmarkEnd w:id="52"/>
    <w:bookmarkStart w:id="55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55"/>
    <w:bookmarkStart w:id="59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t xml:space="preserve">Accuracy is a function of both precision and bias. For statisticians,</w:t>
      </w:r>
      <w:r>
        <w:t xml:space="preserve"> </w:t>
      </w:r>
      <w:r>
        <w:t xml:space="preserve">bias is usually a more serious problem than low precision because:</w:t>
      </w:r>
    </w:p>
    <w:p>
      <w:pPr>
        <w:numPr>
          <w:ilvl w:val="0"/>
          <w:numId w:val="1019"/>
        </w:numPr>
      </w:pPr>
      <w:r>
        <w:t xml:space="preserve">It’s harder to detect (true value usually unknown)</w:t>
      </w:r>
    </w:p>
    <w:p>
      <w:pPr>
        <w:numPr>
          <w:ilvl w:val="0"/>
          <w:numId w:val="1019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21056328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2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pine needles or fish?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Accuracy issues? what could they be?</w:t>
            </w:r>
          </w:p>
        </w:tc>
      </w:tr>
    </w:tbl>
    <w:bookmarkEnd w:id="62"/>
    <w:bookmarkStart w:id="64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63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3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63"/>
    <w:p>
      <w:pPr>
        <w:pStyle w:val="SourceCode"/>
      </w:pPr>
      <w:r>
        <w:rPr>
          <w:rStyle w:val="VerbatimChar"/>
        </w:rPr>
        <w:t xml:space="preserve">Mean length of all fish: 324.5 mm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64"/>
    <w:bookmarkStart w:id="65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4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4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VerbatimChar"/>
        </w:rPr>
        <w:t xml:space="preserve">Median length of all fish: 324.5 mm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65"/>
    <w:bookmarkStart w:id="69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66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66"/>
    <w:bookmarkStart w:id="67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5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67"/>
    <w:bookmarkStart w:id="68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68"/>
    <w:p>
      <w:pPr>
        <w:pStyle w:val="SourceCode"/>
      </w:pPr>
      <w:r>
        <w:rPr>
          <w:rStyle w:val="VerbatimChar"/>
        </w:rPr>
        <w:t xml:space="preserve">Variance of length: 4225.9 mm²</w:t>
      </w:r>
      <w:r>
        <w:br/>
      </w:r>
      <w:r>
        <w:rPr>
          <w:rStyle w:val="VerbatimChar"/>
        </w:rPr>
        <w:t xml:space="preserve"> Standard deviation of length: 65 mm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69"/>
    <w:bookmarkStart w:id="73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BodyText"/>
      </w:pPr>
      <w:r>
        <w:t xml:space="preserve">- note the similarity to the p &lt; 0.5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5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74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74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75"/>
    <w:bookmarkStart w:id="76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76"/>
    <w:bookmarkStart w:id="81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77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6"/>
        </w:numPr>
      </w:pPr>
      <w:r>
        <w:t xml:space="preserve">But there are issues and it might not be good…</w:t>
      </w:r>
    </w:p>
    <w:p>
      <w:pPr>
        <w:pStyle w:val="Compact"/>
        <w:numPr>
          <w:ilvl w:val="1"/>
          <w:numId w:val="1027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28"/>
        </w:numPr>
      </w:pPr>
      <w:r>
        <w:t xml:space="preserve">geometric is all values multiplied taken to the nth root</w:t>
      </w:r>
    </w:p>
    <w:p>
      <w:pPr>
        <w:pStyle w:val="Compact"/>
        <w:numPr>
          <w:ilvl w:val="1"/>
          <w:numId w:val="1027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bookmarkEnd w:id="7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282.4 mm</w:t>
      </w:r>
    </w:p>
    <w:bookmarkEnd w:id="81"/>
    <w:bookmarkStart w:id="85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486400" cy="2909823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clipboard-2483693250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09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4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94"/>
    <w:bookmarkStart w:id="98" w:name="lecture-3-density-plot---mean-vs.-median"/>
    <w:p>
      <w:pPr>
        <w:pStyle w:val="Heading1"/>
      </w:pPr>
      <w:r>
        <w:t xml:space="preserve">Lecture 3: Density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99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99"/>
    <w:bookmarkStart w:id="100" w:name="lecture-3-understanding-percentiles"/>
    <w:p>
      <w:pPr>
        <w:pStyle w:val="Heading1"/>
      </w:pPr>
      <w:r>
        <w:t xml:space="preserve">Lecture 3: Understanding Percentiles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BodyText"/>
      </w:pPr>
      <w:r>
        <w:t xml:space="preserve">The 25th percentile is the first quartile (Q1)</w:t>
      </w:r>
    </w:p>
    <w:p>
      <w:pPr>
        <w:pStyle w:val="BodyText"/>
      </w:pPr>
      <w:r>
        <w:t xml:space="preserve">The 50th percentile is the median</w:t>
      </w:r>
    </w:p>
    <w:p>
      <w:pPr>
        <w:pStyle w:val="BodyText"/>
      </w:pPr>
      <w:r>
        <w:t xml:space="preserve">The 75th percentile is the third quartile (Q3)</w:t>
      </w:r>
    </w:p>
    <w:p>
      <w:pPr>
        <w:pStyle w:val="BodyText"/>
      </w:pPr>
      <w:r>
        <w:t xml:space="preserve">The IQR is the difference between Q3 and Q1.</w:t>
      </w:r>
    </w:p>
    <w:bookmarkEnd w:id="100"/>
    <w:bookmarkStart w:id="101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101"/>
    <w:bookmarkStart w:id="102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0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0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0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0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102"/>
    <w:bookmarkStart w:id="103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1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1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1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1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03"/>
    <w:bookmarkStart w:id="104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04"/>
    <w:bookmarkStart w:id="108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SourceCode"/>
      </w:pPr>
      <w:r>
        <w:rPr>
          <w:rStyle w:val="CommentTok"/>
        </w:rPr>
        <w:t xml:space="preserve"># Plot the different sample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(samples_df,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(sample_number),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of 10 Random Samples from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Number"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08"/>
    <w:bookmarkStart w:id="109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2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2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3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3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3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4"/>
        </w:numPr>
      </w:pPr>
      <w:r>
        <w:t xml:space="preserve">Standard deviation (s) describes the variability in the</w:t>
      </w:r>
      <w:r>
        <w:t xml:space="preserve"> </w:t>
      </w:r>
      <w:r>
        <w:t xml:space="preserve">individual data points</w:t>
      </w:r>
    </w:p>
    <w:p>
      <w:pPr>
        <w:pStyle w:val="Compact"/>
        <w:numPr>
          <w:ilvl w:val="0"/>
          <w:numId w:val="1034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4"/>
        </w:numPr>
      </w:pPr>
      <w:r>
        <w:t xml:space="preserve">As sample size increases, SE decreases (more precise estimate)</w:t>
      </w:r>
    </w:p>
    <w:bookmarkEnd w:id="109"/>
    <w:bookmarkStart w:id="110" w:name="standard-error-for-our-grayling-data"/>
    <w:p>
      <w:pPr>
        <w:pStyle w:val="Heading1"/>
      </w:pPr>
      <w:r>
        <w:rPr>
          <w:b/>
          <w:bCs/>
        </w:rPr>
        <w:t xml:space="preserve">Standard Error for Our Grayling Data</w:t>
      </w:r>
    </w:p>
    <w:p>
      <w:pPr>
        <w:pStyle w:val="FirstParagraph"/>
      </w:pPr>
      <w:r>
        <w:t xml:space="preserve">Let’s calculate and visualize the standard error for both lakes: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 3.48</w:t>
      </w:r>
      <w:r>
        <w:br/>
      </w:r>
      <w:r>
        <w:rPr>
          <w:rStyle w:val="VerbatimChar"/>
        </w:rPr>
        <w:t xml:space="preserve">2 I8           363.      52.3   102      5.18</w:t>
      </w:r>
    </w:p>
    <w:bookmarkEnd w:id="110"/>
    <w:bookmarkStart w:id="114" w:name="visualizing-standard-error"/>
    <w:p>
      <w:pPr>
        <w:pStyle w:val="Heading1"/>
      </w:pPr>
      <w:r>
        <w:rPr>
          <w:b/>
          <w:bCs/>
        </w:rPr>
        <w:t xml:space="preserve">Visualizing Standard Error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7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5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5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5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5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6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6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6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15"/>
    <w:bookmarkStart w:id="116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</w:p>
    <w:bookmarkEnd w:id="116"/>
    <w:bookmarkStart w:id="120" w:name="plotting-sampling-distribution"/>
    <w:p>
      <w:pPr>
        <w:pStyle w:val="Heading1"/>
      </w:pPr>
      <w:r>
        <w:rPr>
          <w:b/>
          <w:bCs/>
        </w:rPr>
        <w:t xml:space="preserve">Plotting Sampling Distribution</w:t>
      </w:r>
    </w:p>
    <w:p>
      <w:pPr>
        <w:pStyle w:val="SourceCode"/>
      </w:pP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9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37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37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37"/>
        </w:numPr>
      </w:pPr>
      <w:r>
        <w:t xml:space="preserve">Has a spread that is related to the standard error</w:t>
      </w:r>
    </w:p>
    <w:bookmarkEnd w:id="120"/>
    <w:bookmarkStart w:id="121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21"/>
    <w:bookmarkStart w:id="125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1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6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38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38"/>
        </w:numPr>
      </w:pPr>
      <w:r>
        <w:t xml:space="preserve">About 95% of such intervals constructed from different samples</w:t>
      </w:r>
      <w:r>
        <w:t xml:space="preserve"> </w:t>
      </w:r>
      <w:r>
        <w:t xml:space="preserve">would 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26"/>
    <w:bookmarkStart w:id="127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27"/>
    <w:bookmarkStart w:id="131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3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32"/>
    <w:bookmarkStart w:id="136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5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37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3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39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3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39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39"/>
        </w:numPr>
      </w:pPr>
      <w:r>
        <w:t xml:space="preserve">When reporting results, always include a measure of precision (SE or</w:t>
      </w:r>
    </w:p>
    <w:bookmarkEnd w:id="137"/>
    <w:bookmarkStart w:id="138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1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1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1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1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1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1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1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1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3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90" Target="media/rId90.png" /><Relationship Type="http://schemas.openxmlformats.org/officeDocument/2006/relationships/image" Id="rId86" Target="media/rId86.png" /><Relationship Type="http://schemas.openxmlformats.org/officeDocument/2006/relationships/image" Id="rId78" Target="media/rId78.png" /><Relationship Type="http://schemas.openxmlformats.org/officeDocument/2006/relationships/image" Id="rId95" Target="media/rId95.png" /><Relationship Type="http://schemas.openxmlformats.org/officeDocument/2006/relationships/image" Id="rId70" Target="media/rId70.png" /><Relationship Type="http://schemas.openxmlformats.org/officeDocument/2006/relationships/image" Id="rId32" Target="media/rId32.png" /><Relationship Type="http://schemas.openxmlformats.org/officeDocument/2006/relationships/image" Id="rId122" Target="media/rId122.png" /><Relationship Type="http://schemas.openxmlformats.org/officeDocument/2006/relationships/image" Id="rId128" Target="media/rId128.png" /><Relationship Type="http://schemas.openxmlformats.org/officeDocument/2006/relationships/image" Id="rId133" Target="media/rId133.png" /><Relationship Type="http://schemas.openxmlformats.org/officeDocument/2006/relationships/image" Id="rId105" Target="media/rId105.png" /><Relationship Type="http://schemas.openxmlformats.org/officeDocument/2006/relationships/image" Id="rId111" Target="media/rId111.png" /><Relationship Type="http://schemas.openxmlformats.org/officeDocument/2006/relationships/image" Id="rId117" Target="media/rId117.png" /><Relationship Type="http://schemas.openxmlformats.org/officeDocument/2006/relationships/image" Id="rId56" Target="media/rId56.png" /><Relationship Type="http://schemas.openxmlformats.org/officeDocument/2006/relationships/image" Id="rId82" Target="media/rId82.png" /><Relationship Type="http://schemas.openxmlformats.org/officeDocument/2006/relationships/image" Id="rId20" Target="media/rId20.png" /><Relationship Type="http://schemas.openxmlformats.org/officeDocument/2006/relationships/image" Id="rId24" Target="media/rId24.jp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2025-09-02T21:08:37Z</dcterms:created>
  <dcterms:modified xsi:type="dcterms:W3CDTF">2025-09-02T21:08:37Z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