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Pivoting Data.</w:t>
      </w:r>
    </w:p>
    <w:p>
      <w:pPr>
        <w:pStyle w:val="BodyText"/>
      </w:pPr>
      <w:r>
        <w:rPr>
          <w:i/>
          <w:iCs/>
        </w:rPr>
        <w:t xml:space="preserve">Next: Common Code 07 — Advanced plotting.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2026-09-08T13:17:28Z</dcterms:created>
  <dcterms:modified xsi:type="dcterms:W3CDTF">2026-09-08T13:17:28Z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pivot_longer() and pivot_wider() — reshaping between wide and long format</vt:lpwstr>
  </property>
  <property fmtid="{D5CDD505-2E9C-101B-9397-08002B2CF9AE}" pid="14" name="toc-title">
    <vt:lpwstr>Table of contents</vt:lpwstr>
  </property>
  <property fmtid="{D5CDD505-2E9C-101B-9397-08002B2CF9AE}" pid="15" name="topic_number">
    <vt:lpwstr>06</vt:lpwstr>
  </property>
  <property fmtid="{D5CDD505-2E9C-101B-9397-08002B2CF9AE}" pid="16" name="type">
    <vt:lpwstr>common_code</vt:lpwstr>
  </property>
</Properties>
</file>