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going-further"/>
    <w:p>
      <w:pPr>
        <w:pStyle w:val="Heading1"/>
      </w:pPr>
      <w:r>
        <w:t xml:space="preserve">Going further</w:t>
      </w:r>
    </w:p>
    <w:p>
      <w:pPr>
        <w:pStyle w:val="BlockText"/>
      </w:pPr>
      <w:r>
        <w:t xml:space="preserve">Optional — do this if you finish early or want a stronger proposal.</w:t>
      </w:r>
    </w:p>
    <w:bookmarkStart w:id="25" w:name="try-a-backup-dataset"/>
    <w:p>
      <w:pPr>
        <w:pStyle w:val="Heading3"/>
      </w:pPr>
      <w:r>
        <w:t xml:space="preserve">Try a backup dataset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candidate. Having a backup means a 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pressure-test-your-question"/>
    <w:p>
      <w:pPr>
        <w:pStyle w:val="Heading3"/>
      </w:pPr>
      <w:r>
        <w:t xml:space="preserve">Pressure-test your question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08. Next: Lecture 09 —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2026-07-05T20:05:39Z</dcterms:created>
  <dcterms:modified xsi:type="dcterms:W3CDTF">2026-07-05T20:05:39Z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Browse real data sources, load a candidate in R, and draft your Milestone 1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