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Whitlock &amp; Schluter,</w:t>
      </w:r>
      <w:r>
        <w:rPr>
          <w:b/>
          <w:bCs/>
        </w:rPr>
        <w:t xml:space="preserve"> </w:t>
      </w:r>
      <w:r>
        <w:rPr>
          <w:b/>
          <w:bCs/>
          <w:i/>
          <w:iCs/>
        </w:rPr>
        <w:t xml:space="preserve">The Analysis of Biological Data</w:t>
      </w:r>
      <w:r>
        <w:t xml:space="preserve"> </w:t>
      </w:r>
      <w:r>
        <w:t xml:space="preserve">- our stats reference; assigned chapters (PDF excerpts) are posted in the course</w:t>
      </w:r>
      <w:r>
        <w:t xml:space="preserve"> </w:t>
      </w:r>
      <w:r>
        <w:rPr>
          <w:rStyle w:val="VerbatimChar"/>
        </w:rPr>
        <w:t xml:space="preserve">readings/</w:t>
      </w:r>
      <w:r>
        <w:t xml:space="preserve"> </w:t>
      </w:r>
      <w:r>
        <w:t xml:space="preserve">folder and linked from each week’s suggested reading</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2026-08-27T20:07:01Z</dcterms:created>
  <dcterms:modified xsi:type="dcterms:W3CDTF">2026-08-27T20:07:01Z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