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what-was-improved-from-the-mm-version"/>
    <w:p>
      <w:pPr>
        <w:pStyle w:val="Heading1"/>
      </w:pPr>
      <w:r>
        <w:t xml:space="preserve">What was improved from the M&amp;M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Changes made for your other course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original M&amp;M ANOVA script had several things worth updating if you use</w:t>
            </w:r>
            <w:r>
              <w:t xml:space="preserve"> </w:t>
            </w:r>
            <w:r>
              <w:t xml:space="preserve">it elsewhere: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replaced with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correct sample sizes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Base R</w:t>
            </w:r>
            <w:r>
              <w:t xml:space="preserve"> </w:t>
            </w:r>
            <w:r>
              <w:rPr>
                <w:rStyle w:val="VerbatimChar"/>
              </w:rPr>
              <w:t xml:space="preserve">par(mfrow)</w:t>
            </w:r>
            <w:r>
              <w:t xml:space="preserve"> </w:t>
            </w:r>
            <w:r>
              <w:t xml:space="preserve">diagnostic plots replaced with ggplot versions using extracted residuals — consistent with course style and your theme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multcompView::cld()</w:t>
            </w:r>
            <w:r>
              <w:t xml:space="preserve"> </w:t>
            </w:r>
            <w:r>
              <w:t xml:space="preserve">added for compact letter display — the standard way to annotate ANOVA figures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η² now computed with a clear formula and benchmarks in a callout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added so model output can be extracted cleanly for reporting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Reporting template filled with actual extracted values, not placeholder</w:t>
            </w:r>
            <w:r>
              <w:t xml:space="preserve"> </w:t>
            </w:r>
            <w:r>
              <w:rPr>
                <w:rStyle w:val="VerbatimChar"/>
              </w:rPr>
              <w:t xml:space="preserve">X.XX</w:t>
            </w:r>
            <w:r>
              <w:t xml:space="preserve"> </w:t>
            </w:r>
            <w:r>
              <w:t xml:space="preserve">text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Welch one-way ANOVA mentioned as the fallback when Levene’s test fails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One-Way ANOVA.</w:t>
      </w:r>
      <w:r>
        <w:t xml:space="preserve"> </w:t>
      </w:r>
      <w:r>
        <w:rPr>
          <w:i/>
          <w:iCs/>
        </w:rPr>
        <w:t xml:space="preserve">Next: Common Code 12 — Correlation and regression.</w:t>
      </w:r>
    </w:p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One-Way ANOVA</dc:title>
  <dc:creator>Bill Perry</dc:creator>
  <cp:keywords/>
  <dcterms:created xsi:type="dcterms:W3CDTF">2026-06-27T00:49:04Z</dcterms:created>
  <dcterms:modified xsi:type="dcterms:W3CDTF">2026-06-27T00:49:04Z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</Properties>
</file>