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helper, and using it one group at a time.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 It is exactly what our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function below uses.</w:t>
            </w:r>
          </w:p>
          <w:p/>
        </w:tc>
      </w:tr>
    </w:tbl>
    <w:bookmarkEnd w:id="31"/>
    <w:bookmarkStart w:id="34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2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4"/>
    <w:bookmarkStart w:id="38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3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3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8"/>
    <w:bookmarkStart w:id="39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39"/>
    <w:bookmarkStart w:id="42" w:name="X07c1d375565a1fd46895dbea9637b5b2688dbd9"/>
    <w:p>
      <w:pPr>
        <w:pStyle w:val="Heading1"/>
      </w:pPr>
      <w:r>
        <w:t xml:space="preserve">One Function, All the Basics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variance,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5"/>
        </w:numPr>
      </w:pPr>
      <w:r>
        <w:t xml:space="preserve">One call gives you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 95% CI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 = sum(!is.na())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5"/>
        </w:numPr>
      </w:pPr>
      <w:r>
        <w:t xml:space="preserve">Source:</w:t>
      </w:r>
      <w:r>
        <w:t xml:space="preserve"> </w:t>
      </w:r>
      <w:hyperlink r:id="rId40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1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2"/>
    <w:bookmarkStart w:id="44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se ci_lower ci_upper</w:t>
      </w:r>
      <w:r>
        <w:br/>
      </w:r>
      <w:r>
        <w:rPr>
          <w:rStyle w:val="VerbatimChar"/>
        </w:rPr>
        <w:t xml:space="preserve">  &lt;int&gt; &lt;dbl&gt;    &lt;dbl&gt; &lt;dbl&gt; &lt;dbl&gt;    &lt;dbl&gt;    &lt;dbl&gt;</w:t>
      </w:r>
      <w:r>
        <w:br/>
      </w:r>
      <w:r>
        <w:rPr>
          <w:rStyle w:val="VerbatimChar"/>
        </w:rPr>
        <w:t xml:space="preserve">1    25  0.51     0.04  0.21  0.04     0.42     0.59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6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6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 — Data Transformation</w:t>
        </w:r>
      </w:hyperlink>
    </w:p>
    <w:bookmarkEnd w:id="44"/>
    <w:bookmarkStart w:id="45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work the NA problem,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, and use it on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 Predict each output, type it, then run it.</w:t>
      </w:r>
    </w:p>
    <w:bookmarkEnd w:id="45"/>
    <w:bookmarkStart w:id="46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6"/>
    <w:bookmarkStart w:id="50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se ci_lower ci_upper</w:t>
      </w:r>
      <w:r>
        <w:br/>
      </w:r>
      <w:r>
        <w:rPr>
          <w:rStyle w:val="VerbatimChar"/>
        </w:rPr>
        <w:t xml:space="preserve">  &lt;chr&gt; &lt;int&gt; &lt;dbl&gt;    &lt;dbl&gt; &lt;dbl&gt; &lt;dbl&gt;    &lt;dbl&gt;    &lt;dbl&gt;</w:t>
      </w:r>
      <w:r>
        <w:br/>
      </w:r>
      <w:r>
        <w:rPr>
          <w:rStyle w:val="VerbatimChar"/>
        </w:rPr>
        <w:t xml:space="preserve">1 shady    28  0.52     0.02  0.15  0.03     0.47     0.58</w:t>
      </w:r>
      <w:r>
        <w:br/>
      </w:r>
      <w:r>
        <w:rPr>
          <w:rStyle w:val="VerbatimChar"/>
        </w:rPr>
        <w:t xml:space="preserve">2 sunny    25  0.51     0.04  0.21  0.04     0.42     0.59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17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0"/>
    <w:bookmarkStart w:id="5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 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8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18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18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1"/>
    <w:bookmarkStart w:id="52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2"/>
    <w:bookmarkStart w:id="55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19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55"/>
    <w:bookmarkStart w:id="56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2"/>
        </w:numPr>
      </w:pPr>
      <w:r>
        <w:t xml:space="preserve">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4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4"/>
        </w:numPr>
      </w:pPr>
      <w:r>
        <w:t xml:space="preserve">Mixing prose, code, and results in one document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5" Target="media/rId35.jpg" /><Relationship Type="http://schemas.openxmlformats.org/officeDocument/2006/relationships/hyperlink" Id="rId43" Target="https://r4ds.hadley.nz/data-transform" TargetMode="External" /><Relationship Type="http://schemas.openxmlformats.org/officeDocument/2006/relationships/hyperlink" Id="rId49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1" Target="themes/r_themes_for_3_sizes.R" TargetMode="External" /><Relationship Type="http://schemas.openxmlformats.org/officeDocument/2006/relationships/hyperlink" Id="rId40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r4ds.hadley.nz/data-transform" TargetMode="External" /><Relationship Type="http://schemas.openxmlformats.org/officeDocument/2006/relationships/hyperlink" Id="rId49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1" Target="themes/r_themes_for_3_sizes.R" TargetMode="External" /><Relationship Type="http://schemas.openxmlformats.org/officeDocument/2006/relationships/hyperlink" Id="rId40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2026-09-22T01:41:37Z</dcterms:created>
  <dcterms:modified xsi:type="dcterms:W3CDTF">2026-09-22T01:41:37Z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