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2026-07-04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07 — Custom Themes.</w:t>
      </w:r>
      <w:r>
        <w:t xml:space="preserve"> </w:t>
      </w:r>
      <w:r>
        <w:rPr>
          <w:i/>
          <w:iCs/>
        </w:rPr>
        <w:t xml:space="preserve">Next: Common Code 08 — Descriptive statistics.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2026-07-04T20:42:20Z</dcterms:created>
  <dcterms:modified xsi:type="dcterms:W3CDTF">2026-07-04T20:42:20Z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2026-07-04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Writing a theme function, sourcing from a subdirectory, and scaling for three output sizes</vt:lpwstr>
  </property>
  <property fmtid="{D5CDD505-2E9C-101B-9397-08002B2CF9AE}" pid="15" name="toc-title">
    <vt:lpwstr>Table of contents</vt:lpwstr>
  </property>
  <property fmtid="{D5CDD505-2E9C-101B-9397-08002B2CF9AE}" pid="16" name="topic_number">
    <vt:lpwstr>018</vt:lpwstr>
  </property>
  <property fmtid="{D5CDD505-2E9C-101B-9397-08002B2CF9AE}" pid="17" name="type">
    <vt:lpwstr>common_code</vt:lpwstr>
  </property>
</Properties>
</file>