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mass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mass between sides.</w:t>
      </w:r>
    </w:p>
    <w:p>
      <w:pPr>
        <w:pStyle w:val="Compact"/>
        <w:numPr>
          <w:ilvl w:val="0"/>
          <w:numId w:val="1001"/>
        </w:numPr>
      </w:pPr>
      <w:r>
        <w:rPr>
          <w:b/>
          <w:bCs/>
        </w:rPr>
        <w:t xml:space="preserve">Alternate hypothesis (Hₐ):</w:t>
      </w:r>
      <w:r>
        <w:t xml:space="preserve"> </w:t>
      </w:r>
      <w:r>
        <w:t xml:space="preserve">mean leaf mass differs between sides.</w:t>
      </w:r>
    </w:p>
    <w:bookmarkEnd w:id="9"/>
    <w:bookmarkStart w:id="10" w:name="methods"/>
    <w:p>
      <w:pPr>
        <w:pStyle w:val="Heading1"/>
      </w:pPr>
      <w:r>
        <w:t xml:space="preserve">2. Methods</w:t>
      </w:r>
    </w:p>
    <w:p>
      <w:pPr>
        <w:pStyle w:val="FirstParagraph"/>
      </w:pPr>
      <w:r>
        <w:t xml:space="preserve">We recorded the mass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mass (g) by shade.</w:t>
      </w:r>
    </w:p>
    <w:tbl>
      <w:tblPr>
        <w:tblStyle w:val="Table"/>
        <w:tblW w:type="auto" w:w="0"/>
        <w:tblLook w:firstRow="1" w:lastRow="0" w:firstColumn="0" w:lastColumn="0" w:noHBand="0" w:noVBand="0" w:val="0020"/>
        <w:tblCaption w:val="Table 1. Leaf mass (g) by shade."/>
      </w:tblPr>
      <w:tblGrid>
        <w:gridCol w:w="1584"/>
        <w:gridCol w:w="1584"/>
        <w:gridCol w:w="1584"/>
        <w:gridCol w:w="1584"/>
        <w:gridCol w:w="1584"/>
      </w:tblGrid>
      <w:tr>
        <w:trPr>
          <w:tblHeader w:val="on"/>
        </w:trPr>
        <w:tc>
          <w:tcPr/>
          <w:p>
            <w:pPr>
              <w:pStyle w:val="Compact"/>
              <w:jc w:val="left"/>
            </w:pPr>
            <w:r>
              <w:t xml:space="preserve">shade</w:t>
            </w:r>
          </w:p>
        </w:tc>
        <w:tc>
          <w:tcPr/>
          <w:p>
            <w:pPr>
              <w:pStyle w:val="Compact"/>
              <w:jc w:val="right"/>
            </w:pPr>
            <w:r>
              <w:t xml:space="preserve">n</w:t>
            </w:r>
          </w:p>
        </w:tc>
        <w:tc>
          <w:tcPr/>
          <w:p>
            <w:pPr>
              <w:pStyle w:val="Compact"/>
              <w:jc w:val="right"/>
            </w:pPr>
            <w:r>
              <w:t xml:space="preserve">mean_mass</w:t>
            </w:r>
          </w:p>
        </w:tc>
        <w:tc>
          <w:tcPr/>
          <w:p>
            <w:pPr>
              <w:pStyle w:val="Compact"/>
              <w:jc w:val="right"/>
            </w:pPr>
            <w:r>
              <w:t xml:space="preserve">sd_mass</w:t>
            </w:r>
          </w:p>
        </w:tc>
        <w:tc>
          <w:tcPr/>
          <w:p>
            <w:pPr>
              <w:pStyle w:val="Compact"/>
              <w:jc w:val="right"/>
            </w:pPr>
            <w:r>
              <w:t xml:space="preserve">se_mass</w:t>
            </w:r>
          </w:p>
        </w:tc>
      </w:tr>
      <w:tr>
        <w:tc>
          <w:tcPr/>
          <w:p>
            <w:pPr>
              <w:pStyle w:val="Compact"/>
              <w:jc w:val="left"/>
            </w:pPr>
            <w:r>
              <w:t xml:space="preserve">shady</w:t>
            </w:r>
          </w:p>
        </w:tc>
        <w:tc>
          <w:tcPr/>
          <w:p>
            <w:pPr>
              <w:pStyle w:val="Compact"/>
              <w:jc w:val="right"/>
            </w:pPr>
            <w:r>
              <w:t xml:space="preserve">28</w:t>
            </w:r>
          </w:p>
        </w:tc>
        <w:tc>
          <w:tcPr/>
          <w:p>
            <w:pPr>
              <w:pStyle w:val="Compact"/>
              <w:jc w:val="right"/>
            </w:pPr>
            <w:r>
              <w:t xml:space="preserve">0.523</w:t>
            </w:r>
          </w:p>
        </w:tc>
        <w:tc>
          <w:tcPr/>
          <w:p>
            <w:pPr>
              <w:pStyle w:val="Compact"/>
              <w:jc w:val="right"/>
            </w:pPr>
            <w:r>
              <w:t xml:space="preserve">0.148</w:t>
            </w:r>
          </w:p>
        </w:tc>
        <w:tc>
          <w:tcPr/>
          <w:p>
            <w:pPr>
              <w:pStyle w:val="Compact"/>
              <w:jc w:val="right"/>
            </w:pPr>
            <w:r>
              <w:t xml:space="preserve">0.028</w:t>
            </w:r>
          </w:p>
        </w:tc>
      </w:tr>
      <w:tr>
        <w:tc>
          <w:tcPr/>
          <w:p>
            <w:pPr>
              <w:pStyle w:val="Compact"/>
              <w:jc w:val="left"/>
            </w:pPr>
            <w:r>
              <w:t xml:space="preserve">sunny</w:t>
            </w:r>
          </w:p>
        </w:tc>
        <w:tc>
          <w:tcPr/>
          <w:p>
            <w:pPr>
              <w:pStyle w:val="Compact"/>
              <w:jc w:val="right"/>
            </w:pPr>
            <w:r>
              <w:t xml:space="preserve">25</w:t>
            </w:r>
          </w:p>
        </w:tc>
        <w:tc>
          <w:tcPr/>
          <w:p>
            <w:pPr>
              <w:pStyle w:val="Compact"/>
              <w:jc w:val="right"/>
            </w:pPr>
            <w:r>
              <w:t xml:space="preserve">0.505</w:t>
            </w:r>
          </w:p>
        </w:tc>
        <w:tc>
          <w:tcPr/>
          <w:p>
            <w:pPr>
              <w:pStyle w:val="Compact"/>
              <w:jc w:val="right"/>
            </w:pPr>
            <w:r>
              <w:t xml:space="preserve">0.210</w:t>
            </w:r>
          </w:p>
        </w:tc>
        <w:tc>
          <w:tcPr/>
          <w:p>
            <w:pPr>
              <w:pStyle w:val="Compact"/>
              <w:jc w:val="right"/>
            </w:pPr>
            <w:r>
              <w:t xml:space="preserve">0.042</w:t>
            </w:r>
          </w:p>
        </w:tc>
      </w:tr>
    </w:tbl>
    <w:p>
      <w:pPr>
        <w:pStyle w:val="BodyText"/>
      </w:pPr>
      <w:r>
        <w:t xml:space="preserve">Read the mean mass for each side straight from the</w:t>
      </w:r>
      <w:r>
        <w:t xml:space="preserve"> </w:t>
      </w:r>
      <w:r>
        <w:rPr>
          <w:rStyle w:val="VerbatimChar"/>
        </w:rPr>
        <w:t xml:space="preserve">mean_mass</w:t>
      </w:r>
      <w:r>
        <w:t xml:space="preserve"> </w:t>
      </w:r>
      <w:r>
        <w:t xml:space="preserve">column of Table 1.</w:t>
      </w:r>
      <w:r>
        <w:t xml:space="preserve"> </w:t>
      </w:r>
      <w:r>
        <w:t xml:space="preserve">Because the table is built from the data every time the document renders, the</w:t>
      </w:r>
      <w:r>
        <w:t xml:space="preserve"> </w:t>
      </w:r>
      <w:r>
        <w:t xml:space="preserve">numbers update themselves whenever the data file changes — nothing is typed by</w:t>
      </w:r>
      <w:r>
        <w:t xml:space="preserve"> </w:t>
      </w:r>
      <w:r>
        <w:t xml:space="preserve">hand.</w:t>
      </w:r>
    </w:p>
    <w:p>
      <w:pPr>
        <w:pStyle w:val="CaptionedFigure"/>
      </w:pPr>
      <w:r>
        <w:drawing>
          <wp:inline>
            <wp:extent cx="2286000" cy="1524000"/>
            <wp:effectExtent b="0" l="0" r="0" t="0"/>
            <wp:docPr descr="Figure 1. Leaf mass by shad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2286000" cy="1524000"/>
                    </a:xfrm>
                    <a:prstGeom prst="rect">
                      <a:avLst/>
                    </a:prstGeom>
                    <a:noFill/>
                    <a:ln w="9525">
                      <a:noFill/>
                      <a:headEnd/>
                      <a:tailEnd/>
                    </a:ln>
                  </pic:spPr>
                </pic:pic>
              </a:graphicData>
            </a:graphic>
          </wp:inline>
        </w:drawing>
      </w:r>
    </w:p>
    <w:p>
      <w:pPr>
        <w:pStyle w:val="ImageCaption"/>
      </w:pPr>
      <w:r>
        <w:t xml:space="preserve">Figure 1. Leaf mass by shade,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Activity 10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2026-09-10T14:25:54Z</dcterms:created>
  <dcterms:modified xsi:type="dcterms:W3CDTF">2026-09-10T14:25:54Z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2026-09-10</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5</vt:lpwstr>
  </property>
  <property fmtid="{D5CDD505-2E9C-101B-9397-08002B2CF9AE}" pid="12" name="resources">
    <vt:lpwstr/>
  </property>
  <property fmtid="{D5CDD505-2E9C-101B-9397-08002B2CF9AE}" pid="13" name="subtitle">
    <vt:lpwstr>A reproducible report built in Quarto</vt:lpwstr>
  </property>
  <property fmtid="{D5CDD505-2E9C-101B-9397-08002B2CF9AE}" pid="14" name="toc-title">
    <vt:lpwstr>Table of contents</vt:lpwstr>
  </property>
  <property fmtid="{D5CDD505-2E9C-101B-9397-08002B2CF9AE}" pid="15" name="week">
    <vt:lpwstr>3</vt:lpwstr>
  </property>
</Properties>
</file>