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  <Override PartName="/word/media/rId1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Do Shady Leaves Weigh More? A Two-Sample t-Test</w:t>
      </w:r>
    </w:p>
    <w:p>
      <w:pPr>
        <w:pStyle w:val="Subtitle"/>
      </w:pPr>
      <w:r>
        <w:t xml:space="preserve">A reproducible write-up of the Activities 09–10 analysis</w:t>
      </w:r>
    </w:p>
    <w:p>
      <w:pPr>
        <w:pStyle w:val="Author"/>
      </w:pPr>
      <w:r>
        <w:t xml:space="preserve">Your Name Here</w:t>
      </w:r>
    </w:p>
    <w:p>
      <w:pPr>
        <w:pStyle w:val="Date"/>
      </w:pPr>
      <w:r>
        <w:t xml:space="preserve">2026-09-10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introduction"/>
    <w:p>
      <w:pPr>
        <w:pStyle w:val="Heading1"/>
      </w:pPr>
      <w:r>
        <w:t xml:space="preserve">1. Introduction</w:t>
      </w:r>
    </w:p>
    <w:p>
      <w:pPr>
        <w:pStyle w:val="FirstParagraph"/>
      </w:pPr>
      <w:r>
        <w:t xml:space="preserve">Leaves on the</w:t>
      </w:r>
      <w:r>
        <w:t xml:space="preserve"> </w:t>
      </w:r>
      <w:r>
        <w:rPr>
          <w:b/>
          <w:bCs/>
        </w:rPr>
        <w:t xml:space="preserve">shady</w:t>
      </w:r>
      <w:r>
        <w:t xml:space="preserve"> </w:t>
      </w:r>
      <w:r>
        <w:t xml:space="preserve">side of a tree may grow larger and heavier to capture</w:t>
      </w:r>
      <w:r>
        <w:t xml:space="preserve"> </w:t>
      </w:r>
      <w:r>
        <w:t xml:space="preserve">more of the limited light beneath the canopy. We measured the mass (g) of leaves</w:t>
      </w:r>
      <w:r>
        <w:t xml:space="preserve"> </w:t>
      </w:r>
      <w:r>
        <w:t xml:space="preserve">from the sunny and shady sides of a tree and tested whether mean leaf mass</w:t>
      </w:r>
      <w:r>
        <w:t xml:space="preserve"> </w:t>
      </w:r>
      <w:r>
        <w:t xml:space="preserve">differs between sides.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Null hypothesis (H₀):</w:t>
      </w:r>
      <w:r>
        <w:t xml:space="preserve"> </w:t>
      </w:r>
      <m:oMath>
        <m:sSub>
          <m:e>
            <m:r>
              <m:t>μ</m:t>
            </m:r>
          </m:e>
          <m:sub>
            <m:r>
              <m:t>s</m:t>
            </m:r>
            <m:r>
              <m:t>h</m:t>
            </m:r>
            <m:r>
              <m:t>a</m:t>
            </m:r>
            <m:r>
              <m:t>d</m:t>
            </m:r>
            <m:r>
              <m:t>y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s</m:t>
            </m:r>
            <m:r>
              <m:t>u</m:t>
            </m:r>
            <m:r>
              <m:t>n</m:t>
            </m:r>
            <m:r>
              <m:t>n</m:t>
            </m:r>
            <m:r>
              <m:t>y</m:t>
            </m:r>
          </m:sub>
        </m:sSub>
      </m:oMath>
      <w:r>
        <w:t xml:space="preserve"> </w:t>
      </w:r>
      <w:r>
        <w:t xml:space="preserve">— no difference in mean mass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Alternate hypothesis (Hₐ):</w:t>
      </w:r>
      <w:r>
        <w:t xml:space="preserve"> </w:t>
      </w:r>
      <m:oMath>
        <m:sSub>
          <m:e>
            <m:r>
              <m:t>μ</m:t>
            </m:r>
          </m:e>
          <m:sub>
            <m:r>
              <m:t>s</m:t>
            </m:r>
            <m:r>
              <m:t>h</m:t>
            </m:r>
            <m:r>
              <m:t>a</m:t>
            </m:r>
            <m:r>
              <m:t>d</m:t>
            </m:r>
            <m:r>
              <m:t>y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s</m:t>
            </m:r>
            <m:r>
              <m:t>u</m:t>
            </m:r>
            <m:r>
              <m:t>n</m:t>
            </m:r>
            <m:r>
              <m:t>n</m:t>
            </m:r>
            <m:r>
              <m:t>y</m:t>
            </m:r>
          </m:sub>
        </m:sSub>
      </m:oMath>
      <w:r>
        <w:t xml:space="preserve"> </w:t>
      </w:r>
      <w:r>
        <w:t xml:space="preserve">— the means differ</w:t>
      </w:r>
    </w:p>
    <w:p>
      <w:pPr>
        <w:pStyle w:val="FirstParagraph"/>
      </w:pPr>
      <w:r>
        <w:t xml:space="preserve">We used a two-tailed test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</w:p>
    <w:bookmarkEnd w:id="9"/>
    <w:bookmarkStart w:id="10" w:name="methods"/>
    <w:p>
      <w:pPr>
        <w:pStyle w:val="Heading1"/>
      </w:pPr>
      <w:r>
        <w:t xml:space="preserve">2. Methods</w:t>
      </w:r>
    </w:p>
    <w:p>
      <w:pPr>
        <w:pStyle w:val="FirstParagraph"/>
      </w:pPr>
      <w:r>
        <w:t xml:space="preserve">We compared the two sides with a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var.equal = FALSE</w:t>
      </w:r>
      <w:r>
        <w:t xml:space="preserve">), which does not assume equal variances. Before testing we</w:t>
      </w:r>
      <w:r>
        <w:t xml:space="preserve"> </w:t>
      </w:r>
      <w:r>
        <w:t xml:space="preserve">checked normality within each group with a Shapiro–Wilk test. All analysis was</w:t>
      </w:r>
      <w:r>
        <w:t xml:space="preserve"> </w:t>
      </w:r>
      <w:r>
        <w:t xml:space="preserve">done in R with the tidyverse, and this report was produced in Quarto so that</w:t>
      </w:r>
      <w:r>
        <w:t xml:space="preserve"> </w:t>
      </w:r>
      <w:r>
        <w:t xml:space="preserve">every value below is computed directly from the raw data.</w:t>
      </w:r>
    </w:p>
    <w:bookmarkEnd w:id="10"/>
    <w:bookmarkStart w:id="17" w:name="results"/>
    <w:p>
      <w:pPr>
        <w:pStyle w:val="Heading1"/>
      </w:pPr>
      <w:r>
        <w:t xml:space="preserve">3. Results</w:t>
      </w:r>
    </w:p>
    <w:p>
      <w:pPr>
        <w:pStyle w:val="TableCaption"/>
      </w:pPr>
      <w:r>
        <w:t xml:space="preserve">Table 1. Leaf mass (g) by shade (n, mean, SD, SE).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able 1. Leaf mass (g) by shade (n, mean, SD, SE).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shade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mean_mass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sd_mass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se_mass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shady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sunny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0.042</w:t>
            </w:r>
          </w:p>
        </w:tc>
      </w:tr>
    </w:tbl>
    <w:p>
      <w:pPr>
        <w:pStyle w:val="TableCaption"/>
      </w:pPr>
      <w:r>
        <w:t xml:space="preserve">Table 2. Welch’s two-sample t-test of leaf mass by shade.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able 2. Welch’s two-sample t-test of leaf mass by shade.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Mean (shady)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Mean (sunny)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p-value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0.7237547</w:t>
            </w:r>
          </w:p>
        </w:tc>
      </w:tr>
    </w:tbl>
    <w:p>
      <w:pPr>
        <w:pStyle w:val="BodyText"/>
      </w:pPr>
      <w:r>
        <w:t xml:space="preserve">The group means, SD, SE, and</w:t>
      </w:r>
      <w:r>
        <w:t xml:space="preserve"> </w:t>
      </w:r>
      <w:r>
        <w:rPr>
          <w:i/>
          <w:iCs/>
        </w:rPr>
        <w:t xml:space="preserve">n</w:t>
      </w:r>
      <w:r>
        <w:t xml:space="preserve"> </w:t>
      </w:r>
      <w:r>
        <w:t xml:space="preserve">are in Table 1; the</w:t>
      </w:r>
      <w:r>
        <w:t xml:space="preserve"> </w:t>
      </w:r>
      <w:r>
        <w:rPr>
          <w:i/>
          <w:iCs/>
        </w:rPr>
        <w:t xml:space="preserve">t</w:t>
      </w:r>
      <w:r>
        <w:t xml:space="preserve">, df, and</w:t>
      </w:r>
      <w:r>
        <w:t xml:space="preserve"> </w:t>
      </w:r>
      <w:r>
        <w:rPr>
          <w:i/>
          <w:iCs/>
        </w:rPr>
        <w:t xml:space="preserve">p</w:t>
      </w:r>
      <w:r>
        <w:t xml:space="preserve">-value of the</w:t>
      </w:r>
      <w:r>
        <w:t xml:space="preserve"> </w:t>
      </w:r>
      <w:r>
        <w:t xml:space="preserve">Welch’s test are in Table 2. The two means are very close, the 95% confidence</w:t>
      </w:r>
      <w:r>
        <w:t xml:space="preserve"> </w:t>
      </w:r>
      <w:r>
        <w:t xml:space="preserve">interval for the difference includes zero, and the</w:t>
      </w:r>
      <w:r>
        <w:t xml:space="preserve"> </w:t>
      </w:r>
      <w:r>
        <w:rPr>
          <w:i/>
          <w:iCs/>
        </w:rPr>
        <w:t xml:space="preserve">p</w:t>
      </w:r>
      <w:r>
        <w:t xml:space="preserve">-value is</w:t>
      </w:r>
      <w:r>
        <w:t xml:space="preserve"> </w:t>
      </w:r>
      <w:r>
        <w:rPr>
          <w:b/>
          <w:bCs/>
        </w:rPr>
        <w:t xml:space="preserve">above</w:t>
      </w:r>
      <w:r>
        <w:t xml:space="preserve"> </w:t>
      </w:r>
      <w:r>
        <w:t xml:space="preserve">the 0.05</w:t>
      </w:r>
      <w:r>
        <w:t xml:space="preserve"> </w:t>
      </w:r>
      <w:r>
        <w:t xml:space="preserve">threshold — so we 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find a significant difference in mean leaf mass</w:t>
      </w:r>
      <w:r>
        <w:t xml:space="preserve"> </w:t>
      </w:r>
      <w:r>
        <w:t xml:space="preserve">between the sunny and shady sides.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</w:p>
          <w:p>
            <w:pPr>
              <w:pStyle w:val="BodyText"/>
            </w:pPr>
            <w:pPr>
              <w:spacing w:before="16" w:after="16"/>
            </w:pPr>
            <w:r>
              <w:t xml:space="preserve">Every number in Tables 1 and 2 is computed from the raw data when the document</w:t>
            </w:r>
            <w:r>
              <w:t xml:space="preserve"> </w:t>
            </w:r>
            <w:r>
              <w:t xml:space="preserve">renders — nothing was typed or pasted. If a leaf measurement changed, you would</w:t>
            </w:r>
            <w:r>
              <w:t xml:space="preserve"> </w:t>
            </w:r>
            <w:r>
              <w:t xml:space="preserve">fix the data file, press</w:t>
            </w:r>
            <w:r>
              <w:t xml:space="preserve"> </w:t>
            </w:r>
            <w:r>
              <w:rPr>
                <w:b/>
                <w:bCs/>
              </w:rPr>
              <w:t xml:space="preserve">Render</w:t>
            </w:r>
            <w:r>
              <w:t xml:space="preserve">, and both tables would update themselves —</w:t>
            </w:r>
            <w:r>
              <w:t xml:space="preserve"> </w:t>
            </w:r>
            <w:r>
              <w:t xml:space="preserve">and so would the sentence above, if you wrote it with inline code. In a plain</w:t>
            </w:r>
            <w:r>
              <w:t xml:space="preserve"> </w:t>
            </w:r>
            <w:r>
              <w:t xml:space="preserve">script you would retype all of these by hand.</w:t>
            </w:r>
          </w:p>
        </w:tc>
      </w:tr>
    </w:tbl>
    <w:p>
      <w:pPr>
        <w:pStyle w:val="CaptionedFigure"/>
      </w:pPr>
      <w:r>
        <w:drawing>
          <wp:inline>
            <wp:extent cx="2286000" cy="1524000"/>
            <wp:effectExtent b="0" l="0" r="0" t="0"/>
            <wp:docPr descr="Figure 1. Leaf mass by shade. Points show individual leaves; the test result is printed in the subtitle." title="" id="15" name="Picture"/>
            <a:graphic>
              <a:graphicData uri="http://schemas.openxmlformats.org/drawingml/2006/picture">
                <pic:pic>
                  <pic:nvPicPr>
                    <pic:cNvPr descr="t_test_report_files/figure-docx/boxplot-1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152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1. Leaf mass by shade. Points show individual leaves; the test result is printed in the subtitle.</w:t>
      </w:r>
    </w:p>
    <w:bookmarkEnd w:id="17"/>
    <w:bookmarkStart w:id="18" w:name="conclusion"/>
    <w:p>
      <w:pPr>
        <w:pStyle w:val="Heading1"/>
      </w:pPr>
      <w:r>
        <w:t xml:space="preserve">4. Conclusion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we</w:t>
      </w:r>
      <w:r>
        <w:t xml:space="preserve"> </w:t>
      </w:r>
      <w:r>
        <w:rPr>
          <w:b/>
          <w:bCs/>
        </w:rPr>
        <w:t xml:space="preserve">fail to reject the null hypothesis</w:t>
      </w:r>
      <w:r>
        <w:t xml:space="preserve">: this sample does not</w:t>
      </w:r>
      <w:r>
        <w:t xml:space="preserve"> </w:t>
      </w:r>
      <w:r>
        <w:t xml:space="preserve">show a difference in mean leaf mass between the sunny and shady sides of the tree.</w:t>
      </w:r>
      <w:r>
        <w:t xml:space="preserve"> </w:t>
      </w:r>
      <w:r>
        <w:t xml:space="preserve">That is not proof that the sides are identical — only that any difference, if one</w:t>
      </w:r>
      <w:r>
        <w:t xml:space="preserve"> </w:t>
      </w:r>
      <w:r>
        <w:t xml:space="preserve">exists, was too small to detect with this sample. The biological prediction that</w:t>
      </w:r>
      <w:r>
        <w:t xml:space="preserve"> </w:t>
      </w:r>
      <w:r>
        <w:t xml:space="preserve">shade leaves grow heavier is</w:t>
      </w:r>
      <w:r>
        <w:t xml:space="preserve"> </w:t>
      </w:r>
      <w:r>
        <w:rPr>
          <w:b/>
          <w:bCs/>
        </w:rPr>
        <w:t xml:space="preserve">not supported</w:t>
      </w:r>
      <w:r>
        <w:t xml:space="preserve"> </w:t>
      </w:r>
      <w:r>
        <w:t xml:space="preserve">by these data.</w:t>
      </w:r>
      <w:r>
        <w:t xml:space="preserve"> </w:t>
      </w:r>
      <w:r>
        <w:rPr>
          <w:i/>
          <w:iCs/>
        </w:rPr>
        <w:t xml:space="preserve">(Add a sentence of your own interpretation here — e.g. would a larger sample, or</w:t>
      </w:r>
      <w:r>
        <w:rPr>
          <w:i/>
          <w:iCs/>
        </w:rPr>
        <w:t xml:space="preserve"> </w:t>
      </w:r>
      <w:r>
        <w:rPr>
          <w:i/>
          <w:iCs/>
        </w:rPr>
        <w:t xml:space="preserve">a different measure such as leaf area, tell a different story?)</w:t>
      </w:r>
    </w:p>
    <w:bookmarkEnd w:id="18"/>
    <w:bookmarkStart w:id="20" w:name="references"/>
    <w:p>
      <w:pPr>
        <w:pStyle w:val="Heading1"/>
      </w:pPr>
      <w:r>
        <w:t xml:space="preserve">5. References</w:t>
      </w:r>
    </w:p>
    <w:p>
      <w:pPr>
        <w:pStyle w:val="Compact"/>
        <w:numPr>
          <w:ilvl w:val="0"/>
          <w:numId w:val="1002"/>
        </w:numPr>
      </w:pPr>
      <w:r>
        <w:t xml:space="preserve">Whitlock, M. &amp; Schluter, D.</w:t>
      </w:r>
      <w:r>
        <w:t xml:space="preserve"> </w:t>
      </w:r>
      <w:r>
        <w:rPr>
          <w:i/>
          <w:iCs/>
        </w:rPr>
        <w:t xml:space="preserve">The Analysis of Biological Data</w:t>
      </w:r>
      <w:r>
        <w:t xml:space="preserve"> </w:t>
      </w:r>
      <w:r>
        <w:t xml:space="preserve">(2nd ed.).</w:t>
      </w:r>
    </w:p>
    <w:p>
      <w:pPr>
        <w:pStyle w:val="Compact"/>
        <w:numPr>
          <w:ilvl w:val="0"/>
          <w:numId w:val="1002"/>
        </w:numPr>
      </w:pPr>
      <w:r>
        <w:t xml:space="preserve">Wickham, H.</w:t>
      </w:r>
      <w:r>
        <w:t xml:space="preserve"> </w:t>
      </w:r>
      <w:r>
        <w:rPr>
          <w:i/>
          <w:iCs/>
        </w:rPr>
        <w:t xml:space="preserve">R for Data Science (2nd ed.)</w:t>
      </w:r>
      <w:r>
        <w:t xml:space="preserve"> </w:t>
      </w:r>
      <w:r>
        <w:t xml:space="preserve">—</w:t>
      </w:r>
      <w:r>
        <w:t xml:space="preserve"> </w:t>
      </w:r>
      <w:hyperlink r:id="rId19">
        <w:r>
          <w:rPr>
            <w:rStyle w:val="Hyperlink"/>
          </w:rPr>
          <w:t xml:space="preserve">https://r4ds.hadley.nz/</w:t>
        </w:r>
      </w:hyperlink>
    </w:p>
    <w:bookmarkEnd w:id="20"/>
    <w:sectPr w:rsidR="00BC5723" w:rsidRPr="0084657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cs="Calibri" w:eastAsia="Calibri" w:hAnsi="Calibri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val="002147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002147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val="002147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val="002147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val="002147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val="002147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val="002147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val="002147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val="002147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val="002147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40"/>
      <w:szCs w:val="40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40"/>
      <w:szCs w:val="40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val="002147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02147" w:space="10" w:sz="4" w:val="single"/>
        <w:bottom w:color="002147" w:space="10" w:sz="4" w:val="single"/>
      </w:pBdr>
      <w:spacing w:after="360" w:before="360"/>
      <w:ind w:left="864" w:right="864"/>
      <w:jc w:val="center"/>
    </w:pPr>
    <w:rPr>
      <w:i/>
      <w:iCs/>
      <w:color w:val="002147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val="002147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val="002147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15"/>
      <w:spacing w:after="240" w:before="2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hd w:color="auto" w:fill="auto" w:val="pct15"/>
      <w:spacing w:after="240" w:before="2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image" Id="rId14" Target="media/rId14.png" /><Relationship Type="http://schemas.openxmlformats.org/officeDocument/2006/relationships/hyperlink" Id="rId19" Target="https://r4ds.hadley.nz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9" Target="https://r4ds.hadley.nz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 Shady Leaves Weigh More? A Two-Sample t-Test</dc:title>
  <dc:creator>Your Name Here</dc:creator>
  <cp:keywords/>
  <dcterms:created xsi:type="dcterms:W3CDTF">2026-09-10T14:26:00Z</dcterms:created>
  <dcterms:modified xsi:type="dcterms:W3CDTF">2026-09-10T14:26:00Z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2026-09-10</vt:lpwstr>
  </property>
  <property fmtid="{D5CDD505-2E9C-101B-9397-08002B2CF9AE}" pid="6" name="execute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order">
    <vt:lpwstr>5</vt:lpwstr>
  </property>
  <property fmtid="{D5CDD505-2E9C-101B-9397-08002B2CF9AE}" pid="12" name="resources">
    <vt:lpwstr/>
  </property>
  <property fmtid="{D5CDD505-2E9C-101B-9397-08002B2CF9AE}" pid="13" name="subtitle">
    <vt:lpwstr>A reproducible write-up of the Activities 09–10 analysis</vt:lpwstr>
  </property>
  <property fmtid="{D5CDD505-2E9C-101B-9397-08002B2CF9AE}" pid="14" name="toc-title">
    <vt:lpwstr>Table of contents</vt:lpwstr>
  </property>
  <property fmtid="{D5CDD505-2E9C-101B-9397-08002B2CF9AE}" pid="15" name="week">
    <vt:lpwstr>3</vt:lpwstr>
  </property>
</Properties>
</file>