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698171"/>
            <wp:effectExtent b="0" l="0" r="0" t="0"/>
            <wp:docPr descr="Exterior photo of the Swenson Science Building, with the instructor’s office entrance and lab location highlighted in red.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698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Exterior photo of the Swenson Science Building, with the instructor’s office entrance and lab location highlighted in red.</w:t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31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Covers how biologists turn a question about nature into something we can measure and test — the same path we take today with leaves.</w:t>
            </w:r>
          </w:p>
          <w:p/>
        </w:tc>
      </w:tr>
    </w:tbl>
    <w:bookmarkEnd w:id="31"/>
    <w:bookmarkStart w:id="34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4"/>
    <w:bookmarkStart w:id="37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7"/>
    <w:bookmarkStart w:id="40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40"/>
    <w:bookmarkStart w:id="45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 — Yes or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1, section on samples and populations — why we sample instead of measuring every leaf on every tree, and what makes a sample representative.</w:t>
            </w:r>
          </w:p>
          <w:p/>
        </w:tc>
      </w:tr>
    </w:tbl>
    <w:bookmarkEnd w:id="45"/>
    <w:bookmarkStart w:id="48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</w:p>
    <w:p>
      <w:pPr>
        <w:pStyle w:val="Compact"/>
        <w:numPr>
          <w:ilvl w:val="0"/>
          <w:numId w:val="1023"/>
        </w:numPr>
      </w:pPr>
      <w:r>
        <w:t xml:space="preserve">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</w:t>
      </w:r>
    </w:p>
    <w:p>
      <w:pPr>
        <w:pStyle w:val="Compact"/>
        <w:numPr>
          <w:ilvl w:val="0"/>
          <w:numId w:val="1023"/>
        </w:numPr>
      </w:pPr>
      <w:r>
        <w:t xml:space="preserve">Example: leaf mass, leaf area</w:t>
      </w:r>
    </w:p>
    <w:p>
      <w:pPr>
        <w:pStyle w:val="FirstParagraph"/>
      </w:pPr>
      <w:r>
        <w:rPr>
          <w:b/>
          <w:bCs/>
        </w:rPr>
        <w:t xml:space="preserve">Independent variable (explanatory):</w:t>
      </w:r>
    </w:p>
    <w:p>
      <w:pPr>
        <w:pStyle w:val="Compact"/>
        <w:numPr>
          <w:ilvl w:val="0"/>
          <w:numId w:val="1024"/>
        </w:numPr>
      </w:pPr>
      <w:r>
        <w:t xml:space="preserve">The thing we control or group by</w:t>
      </w:r>
    </w:p>
    <w:p>
      <w:pPr>
        <w:pStyle w:val="Compact"/>
        <w:numPr>
          <w:ilvl w:val="0"/>
          <w:numId w:val="1024"/>
        </w:numPr>
      </w:pPr>
      <w:r>
        <w:t xml:space="preserve">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8"/>
    <w:bookmarkStart w:id="49" w:name="activity-1-starts-now"/>
    <w:p>
      <w:pPr>
        <w:pStyle w:val="Heading1"/>
      </w:pPr>
      <w:r>
        <w:t xml:space="preserve">→ ACTIVITY 1 starts now</w:t>
      </w:r>
    </w:p>
    <w:p>
      <w:pPr>
        <w:pStyle w:val="FirstParagraph"/>
      </w:pPr>
      <w:r>
        <w:rPr>
          <w:b/>
          <w:bCs/>
        </w:rPr>
        <w:t xml:space="preserve">🛑 Go to Activity 1 —</w:t>
      </w:r>
      <w:r>
        <w:rPr>
          <w:b/>
          <w:bCs/>
        </w:rPr>
        <w:t xml:space="preserve"> </w:t>
      </w:r>
      <w:r>
        <w:rPr>
          <w:b/>
          <w:bCs/>
        </w:rPr>
        <w:t xml:space="preserve">“Measuring Leaves and Entering Data”</w:t>
      </w:r>
    </w:p>
    <w:p>
      <w:pPr>
        <w:pStyle w:val="BodyText"/>
      </w:pPr>
      <w:r>
        <w:t xml:space="preserve">Close the slides. Open the</w:t>
      </w:r>
      <w:r>
        <w:t xml:space="preserve"> </w:t>
      </w:r>
      <w:r>
        <w:rPr>
          <w:b/>
          <w:bCs/>
        </w:rPr>
        <w:t xml:space="preserve">Activity 1</w:t>
      </w:r>
      <w:r>
        <w:t xml:space="preserve"> </w:t>
      </w:r>
      <w:r>
        <w:t xml:space="preserve">worksheet, form your field group, and head outside to the pine stand.</w:t>
      </w:r>
    </w:p>
    <w:p>
      <w:pPr>
        <w:pStyle w:val="BodyText"/>
      </w:pPr>
      <w:r>
        <w:t xml:space="preserve">The worksheet walks you through everything from here: collecting leaves, deciding what to measure, building your spreadsheet, and sketching a first graph. Come back to these slides only if you want to re-check a definition.</w:t>
      </w:r>
    </w:p>
    <w:bookmarkEnd w:id="49"/>
    <w:bookmarkStart w:id="52" w:name="Xf573e9e0221d84577906b05126cba4f2a638fc4"/>
    <w:p>
      <w:pPr>
        <w:pStyle w:val="Heading1"/>
      </w:pPr>
      <w:r>
        <w:t xml:space="preserve">Each group collects 3 sunny + 3 shady leaves per tree</w:t>
      </w:r>
    </w:p>
    <w:p>
      <w:pPr>
        <w:pStyle w:val="Compact"/>
        <w:numPr>
          <w:ilvl w:val="0"/>
          <w:numId w:val="1027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7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1 tree per group</w:t>
      </w:r>
      <w:r>
        <w:t xml:space="preserve"> </w:t>
      </w:r>
      <w:r>
        <w:t xml:space="preserve">(more trees if time allows — we share trees since we are limited)</w:t>
      </w:r>
    </w:p>
    <w:p>
      <w:pPr>
        <w:pStyle w:val="Compact"/>
        <w:numPr>
          <w:ilvl w:val="0"/>
          <w:numId w:val="1027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8"/>
        </w:numPr>
      </w:pPr>
      <w:r>
        <w:t xml:space="preserve">How high do we collect from?</w:t>
      </w:r>
    </w:p>
    <w:p>
      <w:pPr>
        <w:numPr>
          <w:ilvl w:val="1"/>
          <w:numId w:val="1028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8"/>
        </w:numPr>
      </w:pPr>
      <w:r>
        <w:t xml:space="preserve">What will we measure with —</w:t>
      </w:r>
      <w:r>
        <w:t xml:space="preserve"> </w:t>
      </w:r>
      <w:r>
        <w:rPr>
          <w:b/>
          <w:bCs/>
        </w:rPr>
        <w:t xml:space="preserve">calipers or a ruler</w:t>
      </w:r>
      <w:r>
        <w:t xml:space="preserve">?</w:t>
      </w:r>
    </w:p>
    <w:p>
      <w:pPr>
        <w:numPr>
          <w:ilvl w:val="1"/>
          <w:numId w:val="1028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52"/>
    <w:bookmarkStart w:id="55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30"/>
        </w:numPr>
      </w:pPr>
      <w:r>
        <w:t xml:space="preserve">mass (grams)</w:t>
      </w:r>
    </w:p>
    <w:p>
      <w:pPr>
        <w:pStyle w:val="Compact"/>
        <w:numPr>
          <w:ilvl w:val="1"/>
          <w:numId w:val="1030"/>
        </w:numPr>
      </w:pPr>
      <w:r>
        <w:t xml:space="preserve">length (mm or cm)</w:t>
      </w:r>
    </w:p>
    <w:p>
      <w:pPr>
        <w:pStyle w:val="Compact"/>
        <w:numPr>
          <w:ilvl w:val="1"/>
          <w:numId w:val="1030"/>
        </w:numPr>
      </w:pPr>
      <w:r>
        <w:t xml:space="preserve">width (mm or cm)</w:t>
      </w:r>
    </w:p>
    <w:p>
      <w:pPr>
        <w:pStyle w:val="Compact"/>
        <w:numPr>
          <w:ilvl w:val="1"/>
          <w:numId w:val="1030"/>
        </w:numPr>
      </w:pPr>
      <w:r>
        <w:t xml:space="preserve">surface area (cm²) — how?</w:t>
      </w:r>
    </w:p>
    <w:p>
      <w:pPr>
        <w:pStyle w:val="Compact"/>
        <w:numPr>
          <w:ilvl w:val="1"/>
          <w:numId w:val="1030"/>
        </w:numPr>
      </w:pPr>
      <w:r>
        <w:t xml:space="preserve">others?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31"/>
        </w:numPr>
      </w:pPr>
      <w:r>
        <w:t xml:space="preserve">What units?</w:t>
      </w:r>
    </w:p>
    <w:p>
      <w:pPr>
        <w:numPr>
          <w:ilvl w:val="1"/>
          <w:numId w:val="1031"/>
        </w:numPr>
      </w:pPr>
      <w:r>
        <w:t xml:space="preserve">What abbreviations or vocabulary for the variables?</w:t>
      </w:r>
    </w:p>
    <w:p>
      <w:pPr>
        <w:numPr>
          <w:ilvl w:val="1"/>
          <w:numId w:val="1031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5"/>
    <w:bookmarkStart w:id="58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3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4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3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3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8"/>
    <w:bookmarkStart w:id="61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5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6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6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6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61"/>
    <w:bookmarkStart w:id="64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64"/>
    <w:bookmarkStart w:id="69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5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8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6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9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bookmarkEnd w:id="69"/>
    <w:bookmarkStart w:id="72" w:name="suggested-reading-before-lecture-2"/>
    <w:p>
      <w:pPr>
        <w:pStyle w:val="Heading1"/>
      </w:pPr>
      <w:r>
        <w:t xml:space="preserve">Suggested reading before Lecture 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Whitlock &amp; Schluter</w:t>
      </w:r>
      <w:r>
        <w:t xml:space="preserve">, Ch. 1 —</w:t>
      </w:r>
      <w:r>
        <w:t xml:space="preserve"> </w:t>
      </w:r>
      <w:r>
        <w:rPr>
          <w:i/>
          <w:iCs/>
        </w:rPr>
        <w:t xml:space="preserve">Statistics and Samples</w:t>
      </w:r>
    </w:p>
    <w:p>
      <w:pPr>
        <w:pStyle w:val="Compact"/>
        <w:numPr>
          <w:ilvl w:val="1"/>
          <w:numId w:val="1041"/>
        </w:numPr>
      </w:pPr>
      <w:r>
        <w:t xml:space="preserve">Read the whole chapter — it is short and covers everything we discussed today: forming a question, samples vs. populations, and why we replicate and randomize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(skim only)</w:t>
      </w:r>
    </w:p>
    <w:p>
      <w:pPr>
        <w:pStyle w:val="Compact"/>
        <w:numPr>
          <w:ilvl w:val="1"/>
          <w:numId w:val="1042"/>
        </w:numPr>
      </w:pPr>
      <w:r>
        <w:t xml:space="preserve">You do not need to run any code yet. Just look at the pictures and read the first few pages — it previews what we build in Lecture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PDFs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 Neither reading requires you to write anything — just read and come with questions.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7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2026-10-08T13:39:43Z</dcterms:created>
  <dcterms:modified xsi:type="dcterms:W3CDTF">2026-10-08T13:39:43Z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Our question, our data, and a first look at what we will do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