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3.png" ContentType="image/png"/>
  <Override PartName="/word/media/rId78.png" ContentType="image/png"/>
  <Override PartName="/word/media/rId84.png" ContentType="image/png"/>
  <Override PartName="/word/media/rId100.png" ContentType="image/png"/>
  <Override PartName="/word/media/rId105.png" ContentType="image/png"/>
  <Override PartName="/word/media/rId112.png" ContentType="image/png"/>
  <Override PartName="/word/media/rId23.png" ContentType="image/png"/>
  <Override PartName="/word/media/rId33.png" ContentType="image/png"/>
  <Override PartName="/word/media/rId40.png" ContentType="image/png"/>
  <Override PartName="/word/media/rId51.png" ContentType="image/png"/>
  <Override PartName="/word/media/rId61.png" ContentType="image/png"/>
  <Override PartName="/word/media/rId66.png" ContentType="image/png"/>
  <Override PartName="/word/media/rId44.png" ContentType="image/png"/>
  <Override PartName="/word/media/rId9.png" ContentType="image/png"/>
  <Override PartName="/word/media/rId18.png" ContentType="image/png"/>
  <Override PartName="/word/media/rId95.png" ContentType="image/png"/>
  <Override PartName="/word/media/rId89.png" ContentType="image/png"/>
  <Override PartName="/word/media/rId131.png" ContentType="image/png"/>
  <Override PartName="/word/media/rId135.png" ContentType="image/png"/>
  <Override PartName="/word/media/rId120.png" ContentType="image/png"/>
  <Override PartName="/word/media/rId56.png" ContentType="image/png"/>
  <Override PartName="/word/media/rId127.png" ContentType="image/png"/>
  <Override PartName="/word/media/rId1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12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09_01_lecture_powerpoint_files/figure-docx/review-plot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4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13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</w:t>
      </w:r>
      <w:r>
        <w:t xml:space="preserve"> </w:t>
      </w:r>
      <w:r>
        <w:t xml:space="preserve">correlation and regression analysis. Based on Chapters 16-17 from</w:t>
      </w:r>
      <w:r>
        <w:t xml:space="preserve"> </w:t>
      </w:r>
      <w:r>
        <w:t xml:space="preserve">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</w:t>
      </w:r>
      <w:r>
        <w:t xml:space="preserve"> </w:t>
      </w:r>
      <w:r>
        <w:t xml:space="preserve">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13"/>
    <w:bookmarkEnd w:id="14"/>
    <w:bookmarkStart w:id="21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15" w:name="whats-the-difference"/>
    <w:p>
      <w:pPr>
        <w:pStyle w:val="Heading3"/>
      </w:pPr>
      <w:r>
        <w:t xml:space="preserve">What’s the Difference?</w:t>
      </w:r>
    </w:p>
    <w:bookmarkEnd w:id="15"/>
    <w:bookmarkStart w:id="16" w:name="correlation-analysis"/>
    <w:p>
      <w:pPr>
        <w:pStyle w:val="Heading3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</w:t>
      </w:r>
      <w:r>
        <w:t xml:space="preserve"> </w:t>
      </w:r>
      <w:r>
        <w:t xml:space="preserve">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</w:t>
      </w:r>
      <w:r>
        <w:t xml:space="preserve"> </w:t>
      </w:r>
      <w:r>
        <w:t xml:space="preserve">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bookmarkEnd w:id="16"/>
    <w:bookmarkStart w:id="17" w:name="regression-analysis"/>
    <w:p>
      <w:pPr>
        <w:pStyle w:val="Heading3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 with slope and intercept</w:t>
      </w:r>
      <w:r>
        <w:t xml:space="preserve"> </w:t>
      </w:r>
      <w:r>
        <w:t xml:space="preserve">parameters</w:t>
      </w:r>
    </w:p>
    <w:bookmarkEnd w:id="17"/>
    <w:p>
      <w:pPr>
        <w:pStyle w:val="FirstParagraph"/>
      </w:pPr>
      <w:r>
        <w:drawing>
          <wp:inline>
            <wp:extent cx="4876800" cy="60960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09_01_lecture_powerpoint_files/figure-docx/unnamed-chunk-1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6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22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</w:t>
      </w:r>
      <w:r>
        <w:t xml:space="preserve"> </w:t>
      </w:r>
      <w:r>
        <w:t xml:space="preserve">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22"/>
    <w:p>
      <w:pPr>
        <w:pStyle w:val="BodyText"/>
      </w:pPr>
      <w:r>
        <w:drawing>
          <wp:inline>
            <wp:extent cx="4876800" cy="7315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i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731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27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</w:t>
      </w:r>
      <w:r>
        <w:t xml:space="preserve"> </w:t>
      </w:r>
      <w:r>
        <w:t xml:space="preserve">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nonparametric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</w:t>
      </w:r>
      <w:r>
        <w:t xml:space="preserve"> </w:t>
      </w:r>
      <w:r>
        <w:t xml:space="preserve">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</w:t>
      </w:r>
      <w:r>
        <w:t xml:space="preserve"> </w:t>
      </w:r>
      <w:r>
        <w:t xml:space="preserve">by the other variable</w:t>
      </w:r>
    </w:p>
    <w:bookmarkEnd w:id="27"/>
    <w:bookmarkStart w:id="28" w:name="X4ca6c2c2012f95fd286a0fd3bb88022c403f6ef"/>
    <w:p>
      <w:pPr>
        <w:pStyle w:val="Heading3"/>
      </w:pPr>
      <w:r>
        <w:t xml:space="preserve">Note that it is tested by a t test: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28"/>
    <w:bookmarkEnd w:id="29"/>
    <w:bookmarkStart w:id="36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0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</w:t>
      </w:r>
      <w:r>
        <w:t xml:space="preserve"> </w:t>
      </w:r>
      <w:r>
        <w:t xml:space="preserve">that Nazca boobies who experienced more visits from non-parent adults as</w:t>
      </w:r>
      <w:r>
        <w:t xml:space="preserve"> </w:t>
      </w:r>
      <w:r>
        <w:t xml:space="preserve">nestlings tend to display more aggressive behavior as adults. This</w:t>
      </w:r>
      <w:r>
        <w:t xml:space="preserve"> </w:t>
      </w:r>
      <w:r>
        <w:t xml:space="preserve">supports the hypothesis that early experiences influence adult behavior</w:t>
      </w:r>
      <w:r>
        <w:t xml:space="preserve"> </w:t>
      </w:r>
      <w:r>
        <w:t xml:space="preserve">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30"/>
    <w:bookmarkStart w:id="31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31"/>
    <w:bookmarkStart w:id="32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32"/>
    <w:p>
      <w:pPr>
        <w:pStyle w:val="BodyText"/>
      </w:pPr>
      <w:r>
        <w:drawing>
          <wp:inline>
            <wp:extent cx="4876800" cy="6096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k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8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7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booby data:</w:t>
      </w:r>
    </w:p>
    <w:bookmarkEnd w:id="37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booby_data$future_aggression</w:t>
      </w:r>
      <w:r>
        <w:br/>
      </w:r>
      <w:r>
        <w:rPr>
          <w:rStyle w:val="VerbatimChar"/>
        </w:rPr>
        <w:t xml:space="preserve">W = 0.91575, p-value = 0.04709</w:t>
      </w:r>
    </w:p>
    <w:bookmarkEnd w:id="38"/>
    <w:bookmarkStart w:id="43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9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using the booby data</w:t>
      </w:r>
    </w:p>
    <w:bookmarkEnd w:id="39"/>
    <w:p>
      <w:pPr>
        <w:pStyle w:val="BodyText"/>
      </w:pPr>
      <w:r>
        <w:drawing>
          <wp:inline>
            <wp:extent cx="4876800" cy="48768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m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8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7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</w:t>
      </w:r>
      <w:r>
        <w:t xml:space="preserve"> </w:t>
      </w:r>
      <w:r>
        <w:t xml:space="preserve">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2m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49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p>
      <w:pPr>
        <w:pStyle w:val="FirstParagraph"/>
      </w:pPr>
      <w:r>
        <w:t xml:space="preserve">To understand the amount of variation explained, you can square the non</w:t>
      </w:r>
      <w:r>
        <w:t xml:space="preserve"> </w:t>
      </w:r>
      <w:r>
        <w:t xml:space="preserve">parametric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</w:t>
      </w:r>
      <w:r>
        <w:t xml:space="preserve"> </w:t>
      </w:r>
      <w:r>
        <w:t xml:space="preserve">can be explained by the ranks of the other variable. This is similar to</w:t>
      </w:r>
      <w:r>
        <w:t xml:space="preserve"> </w:t>
      </w:r>
      <w:r>
        <w:t xml:space="preserve">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49"/>
    <w:bookmarkStart w:id="54" w:name="lecture-9-correlation-analysis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0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1"/>
          <w:numId w:val="1012"/>
        </w:numPr>
      </w:pPr>
      <w:r>
        <w:t xml:space="preserve">Restricting range of values can reduce the correlation</w:t>
      </w:r>
      <w:r>
        <w:t xml:space="preserve"> </w:t>
      </w:r>
      <w:r>
        <w:t xml:space="preserve">coefficient</w:t>
      </w:r>
    </w:p>
    <w:p>
      <w:pPr>
        <w:pStyle w:val="Compact"/>
        <w:numPr>
          <w:ilvl w:val="1"/>
          <w:numId w:val="1012"/>
        </w:numPr>
      </w:pPr>
      <w:r>
        <w:t xml:space="preserve">Comparing correlations between studies requires similar ranges</w:t>
      </w:r>
      <w:r>
        <w:t xml:space="preserve"> </w:t>
      </w:r>
      <w:r>
        <w:t xml:space="preserve">of values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1"/>
          <w:numId w:val="1013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1"/>
          <w:numId w:val="1013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1"/>
          <w:numId w:val="1013"/>
        </w:numPr>
      </w:pPr>
      <w:r>
        <w:t xml:space="preserve">True correlation typically stronger than observed correlation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1"/>
          <w:numId w:val="1014"/>
        </w:numPr>
      </w:pPr>
      <w:r>
        <w:t xml:space="preserve">Correlation does not imply causation</w:t>
      </w:r>
    </w:p>
    <w:p>
      <w:pPr>
        <w:pStyle w:val="Compact"/>
        <w:numPr>
          <w:ilvl w:val="1"/>
          <w:numId w:val="1014"/>
        </w:numPr>
      </w:pPr>
      <w:r>
        <w:t xml:space="preserve">Three possible explanations for correlation:</w:t>
      </w:r>
    </w:p>
    <w:p>
      <w:pPr>
        <w:pStyle w:val="Compact"/>
        <w:numPr>
          <w:ilvl w:val="2"/>
          <w:numId w:val="1015"/>
        </w:numPr>
      </w:pPr>
      <w:r>
        <w:t xml:space="preserve">X causes Y</w:t>
      </w:r>
    </w:p>
    <w:p>
      <w:pPr>
        <w:pStyle w:val="Compact"/>
        <w:numPr>
          <w:ilvl w:val="2"/>
          <w:numId w:val="1015"/>
        </w:numPr>
      </w:pPr>
      <w:r>
        <w:t xml:space="preserve">Y causes X</w:t>
      </w:r>
    </w:p>
    <w:p>
      <w:pPr>
        <w:pStyle w:val="Compact"/>
        <w:numPr>
          <w:ilvl w:val="2"/>
          <w:numId w:val="1015"/>
        </w:numPr>
      </w:pPr>
      <w:r>
        <w:t xml:space="preserve">Z (a third variable) causes both X and 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1"/>
          <w:numId w:val="1016"/>
        </w:numPr>
      </w:pPr>
      <w:r>
        <w:t xml:space="preserve">H₀: ρ = 0 (no correlation in population)</w:t>
      </w:r>
    </w:p>
    <w:p>
      <w:pPr>
        <w:pStyle w:val="Compact"/>
        <w:numPr>
          <w:ilvl w:val="1"/>
          <w:numId w:val="1016"/>
        </w:numPr>
      </w:pPr>
      <w:r>
        <w:t xml:space="preserve">H₁: ρ ≠ 0 (correlation exists in population)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Test statistic: t = r / SE(r) with df = n-2</w:t>
      </w:r>
    </w:p>
    <w:bookmarkEnd w:id="50"/>
    <w:p>
      <w:pPr>
        <w:pStyle w:val="FirstParagraph"/>
      </w:pPr>
      <w:r>
        <w:drawing>
          <wp:inline>
            <wp:extent cx="4876800" cy="6096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o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9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55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17"/>
        </w:numPr>
      </w:pPr>
      <w:r>
        <w:t xml:space="preserve">Where:</w:t>
      </w:r>
    </w:p>
    <w:p>
      <w:pPr>
        <w:pStyle w:val="Compact"/>
        <w:numPr>
          <w:ilvl w:val="1"/>
          <w:numId w:val="1018"/>
        </w:numPr>
      </w:pPr>
      <w:r>
        <w:t xml:space="preserve">Y is the response variable</w:t>
      </w:r>
    </w:p>
    <w:p>
      <w:pPr>
        <w:pStyle w:val="Compact"/>
        <w:numPr>
          <w:ilvl w:val="1"/>
          <w:numId w:val="1018"/>
        </w:numPr>
      </w:pPr>
      <w:r>
        <w:t xml:space="preserve">X is the predictor variable</w:t>
      </w:r>
    </w:p>
    <w:p>
      <w:pPr>
        <w:pStyle w:val="Compact"/>
        <w:numPr>
          <w:ilvl w:val="1"/>
          <w:numId w:val="1018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18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19"/>
        </w:numPr>
      </w:pPr>
      <w:r>
        <w:t xml:space="preserve">Where:</w:t>
      </w:r>
    </w:p>
    <w:p>
      <w:pPr>
        <w:pStyle w:val="Compact"/>
        <w:numPr>
          <w:ilvl w:val="1"/>
          <w:numId w:val="1020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0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0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55"/>
    <w:p>
      <w:pPr>
        <w:pStyle w:val="BodyText"/>
      </w:pPr>
      <w:r>
        <w:drawing>
          <wp:inline>
            <wp:extent cx="2266950" cy="6090313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336024496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6090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4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0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2"/>
        </w:numPr>
      </w:pPr>
      <w:r>
        <w:t xml:space="preserve">Y is the response variable</w:t>
      </w:r>
    </w:p>
    <w:p>
      <w:pPr>
        <w:pStyle w:val="Compact"/>
        <w:numPr>
          <w:ilvl w:val="1"/>
          <w:numId w:val="1022"/>
        </w:numPr>
      </w:pPr>
      <w:r>
        <w:t xml:space="preserve">X is the predictor variable</w:t>
      </w:r>
    </w:p>
    <w:p>
      <w:pPr>
        <w:pStyle w:val="Compact"/>
        <w:numPr>
          <w:ilvl w:val="1"/>
          <w:numId w:val="1022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22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22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23"/>
        </w:numPr>
      </w:pPr>
      <w:r>
        <w:t xml:space="preserve">Where:</w:t>
      </w:r>
    </w:p>
    <w:p>
      <w:pPr>
        <w:pStyle w:val="Compact"/>
        <w:numPr>
          <w:ilvl w:val="1"/>
          <w:numId w:val="1024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4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4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60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p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9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</w:t>
      </w:r>
      <w:r>
        <w:t xml:space="preserve"> </w:t>
      </w:r>
      <w:r>
        <w:t xml:space="preserve">is:</w:t>
      </w:r>
    </w:p>
    <w:bookmarkStart w:id="65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25"/>
        </w:numPr>
      </w:pPr>
      <w:r>
        <w:t xml:space="preserve">When a lion has no black on its nose (proportion = 0), its predicted</w:t>
      </w:r>
      <w:r>
        <w:t xml:space="preserve"> </w:t>
      </w:r>
      <w:r>
        <w:t xml:space="preserve">age is 0.88 years</w:t>
      </w:r>
    </w:p>
    <w:p>
      <w:pPr>
        <w:pStyle w:val="Compact"/>
        <w:numPr>
          <w:ilvl w:val="0"/>
          <w:numId w:val="1025"/>
        </w:numPr>
      </w:pPr>
      <w:r>
        <w:t xml:space="preserve">For each 0.1 increase in the proportion of black, age increases by</w:t>
      </w:r>
      <w:r>
        <w:t xml:space="preserve"> </w:t>
      </w:r>
      <w:r>
        <w:t xml:space="preserve">1.065 years</w:t>
      </w:r>
    </w:p>
    <w:p>
      <w:pPr>
        <w:pStyle w:val="Compact"/>
        <w:numPr>
          <w:ilvl w:val="0"/>
          <w:numId w:val="1025"/>
        </w:numPr>
      </w:pPr>
      <w:r>
        <w:t xml:space="preserve">The slope (10.65) indicates that lions with more black on their</w:t>
      </w:r>
      <w:r>
        <w:t xml:space="preserve"> </w:t>
      </w:r>
      <w:r>
        <w:t xml:space="preserve">noses tend to be older</w:t>
      </w:r>
    </w:p>
    <w:bookmarkEnd w:id="65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q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1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0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6"/>
        </w:numPr>
      </w:pPr>
      <w:r>
        <w:t xml:space="preserve">male lions develop more black pigmentation on their noses as they</w:t>
      </w:r>
      <w:r>
        <w:t xml:space="preserve"> </w:t>
      </w:r>
      <w:r>
        <w:t xml:space="preserve">age.</w:t>
      </w:r>
    </w:p>
    <w:p>
      <w:pPr>
        <w:pStyle w:val="Compact"/>
        <w:numPr>
          <w:ilvl w:val="0"/>
          <w:numId w:val="1026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70"/>
    <w:bookmarkEnd w:id="71"/>
    <w:bookmarkStart w:id="76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2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(m)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27"/>
        </w:numPr>
      </w:pPr>
      <w:r>
        <w:t xml:space="preserve">Given:</w:t>
      </w:r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1.2221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13.0123</m:t>
        </m:r>
      </m:oMath>
    </w:p>
    <w:p>
      <w:pPr>
        <w:pStyle w:val="FirstParagraph"/>
      </w:pPr>
      <w:r>
        <w:t xml:space="preserve">b = 13.0123 / 1.2221 = 10.647</w:t>
      </w:r>
    </w:p>
    <w:p>
      <w:pPr>
        <w:pStyle w:val="BodyText"/>
      </w:pPr>
      <w:r>
        <w:t xml:space="preserve">Intercept (b):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m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r>
          <m:rPr>
            <m:sty m:val="p"/>
          </m:rPr>
          <m:t>(</m:t>
        </m:r>
        <m:r>
          <m:t>0.3222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0.879</m:t>
        </m:r>
      </m:oMath>
    </w:p>
    <w:bookmarkEnd w:id="72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1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7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</w:t>
      </w:r>
      <w:r>
        <w:t xml:space="preserve"> </w:t>
      </w:r>
      <w:r>
        <w:t xml:space="preserve">0.50 black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Prediction interval</w:t>
      </w:r>
      <w:r>
        <w:t xml:space="preserve">: Range for an individual lion with 0.50</w:t>
      </w:r>
      <w:r>
        <w:t xml:space="preserve"> </w:t>
      </w:r>
      <w:r>
        <w:t xml:space="preserve">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</w:t>
      </w:r>
      <w:r>
        <w:t xml:space="preserve"> </w:t>
      </w:r>
      <w:r>
        <w:t xml:space="preserve">from the mean.</w:t>
      </w:r>
    </w:p>
    <w:bookmarkEnd w:id="77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b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3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2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30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30"/>
        </w:numPr>
      </w:pPr>
      <w:r>
        <w:t xml:space="preserve">Tilman et al. (2006) investigated using experimental plots varying</w:t>
      </w:r>
      <w:r>
        <w:t xml:space="preserve"> </w:t>
      </w:r>
      <w:r>
        <w:t xml:space="preserve">plant species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2"/>
    <w:bookmarkEnd w:id="83"/>
    <w:bookmarkStart w:id="87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31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31"/>
        </w:numPr>
      </w:pPr>
      <w:r>
        <w:t xml:space="preserve">H₁: β ≠ 0 (species number does affect stability)</w:t>
      </w:r>
    </w:p>
    <w:p>
      <w:pPr>
        <w:pStyle w:val="FirstParagraph"/>
      </w:pPr>
      <w:r>
        <w:t xml:space="preserve">t = estimate/SE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</w:t>
      </w:r>
      <w:r>
        <w:t xml:space="preserve"> </w:t>
      </w:r>
      <w:r>
        <w:t xml:space="preserve">0.033 units for each additional plant species in the plot.</w:t>
      </w:r>
    </w:p>
    <w:p>
      <w:pPr>
        <w:pStyle w:val="BodyText"/>
      </w:pPr>
      <w:r>
        <w:t xml:space="preserve">The p-value is very small (2.73e-10), providing strong evidence to</w:t>
      </w:r>
      <w:r>
        <w:t xml:space="preserve"> </w:t>
      </w:r>
      <w:r>
        <w:t xml:space="preserve">reject the null hypothesis that species number has no effect on</w:t>
      </w:r>
      <w:r>
        <w:t xml:space="preserve"> </w:t>
      </w:r>
      <w:r>
        <w:t xml:space="preserve">ecosystem stability.</w:t>
      </w:r>
    </w:p>
    <w:p>
      <w:pPr>
        <w:pStyle w:val="BodyText"/>
      </w:pPr>
      <w:r>
        <w:t xml:space="preserve">R² = 0.222, meaning that approximately 22.2% of the variation in log</w:t>
      </w:r>
      <w:r>
        <w:t xml:space="preserve"> </w:t>
      </w:r>
      <w:r>
        <w:t xml:space="preserve">stability is explained by the number of plant species.</w:t>
      </w:r>
    </w:p>
    <w:p>
      <w:pPr>
        <w:pStyle w:val="BodyText"/>
      </w:pPr>
      <w:r>
        <w:t xml:space="preserve">This supports the biodiversity-stability hypothesis: more diverse plant</w:t>
      </w:r>
      <w:r>
        <w:t xml:space="preserve"> </w:t>
      </w:r>
      <w:r>
        <w:t xml:space="preserve">communities have more stable biomass production over time.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d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2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8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33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33"/>
        </w:numPr>
      </w:pPr>
      <w:r>
        <w:t xml:space="preserve">has the same variance</w:t>
      </w:r>
    </w:p>
    <w:p>
      <w:pPr>
        <w:numPr>
          <w:ilvl w:val="0"/>
          <w:numId w:val="1033"/>
        </w:numPr>
      </w:pPr>
      <w:r>
        <w:t xml:space="preserve">has a mean of 0 at each xi</w:t>
      </w:r>
    </w:p>
    <w:bookmarkEnd w:id="88"/>
    <w:p>
      <w:pPr>
        <w:pStyle w:val="FirstParagraph"/>
      </w:pPr>
      <w:r>
        <w:drawing>
          <wp:inline>
            <wp:extent cx="3686175" cy="2099546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clipboard-2092034232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2099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8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3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35"/>
        </w:numPr>
      </w:pPr>
      <w:r>
        <w:t xml:space="preserve">ordinary lease square estimates a and b or slope and intercept to</w:t>
      </w:r>
      <w:r>
        <w:t xml:space="preserve"> </w:t>
      </w:r>
      <w:r>
        <w:t xml:space="preserve">minimize the sum of the residuals squared as</w:t>
      </w:r>
    </w:p>
    <w:bookmarkEnd w:id="93"/>
    <w:bookmarkStart w:id="94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bookmarkEnd w:id="94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1411052425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3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9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p>
      <w:pPr>
        <w:pStyle w:val="BodyText"/>
      </w:pPr>
      <w:r>
        <w:t xml:space="preserve">Linearity - how does this plot work</w:t>
      </w:r>
    </w:p>
    <w:bookmarkEnd w:id="99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e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8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4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4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f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0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9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9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10"/>
    <w:bookmarkStart w:id="115" w:name="lecture-9-linear-regression-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1" w:name="simple-linear-regression-model-5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</w:t>
      </w:r>
      <w:r>
        <w:t xml:space="preserve"> </w:t>
      </w:r>
      <w:r>
        <w:t xml:space="preserve">weighted least squares for heteroscedasticity 3. Consider non-linear</w:t>
      </w:r>
      <w:r>
        <w:t xml:space="preserve"> </w:t>
      </w:r>
      <w:r>
        <w:t xml:space="preserve">models (Section 17.8)</w:t>
      </w:r>
    </w:p>
    <w:bookmarkEnd w:id="111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h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40"/>
        </w:numPr>
      </w:pPr>
      <w:r>
        <w:t xml:space="preserve">Estimates of standard error and confidence intervals for slow and</w:t>
      </w:r>
      <w:r>
        <w:t xml:space="preserve"> </w:t>
      </w:r>
      <w:r>
        <w:t xml:space="preserve">intercept to determine confidence bands</w:t>
      </w:r>
    </w:p>
    <w:p>
      <w:pPr>
        <w:numPr>
          <w:ilvl w:val="0"/>
          <w:numId w:val="1040"/>
        </w:numPr>
      </w:pPr>
      <w:r>
        <w:t xml:space="preserve">the 95% confidence band will contain the true population line 95/100</w:t>
      </w:r>
      <w:r>
        <w:t xml:space="preserve"> </w:t>
      </w:r>
      <w:r>
        <w:t xml:space="preserve">under repeated sampling</w:t>
      </w:r>
    </w:p>
    <w:p>
      <w:pPr>
        <w:numPr>
          <w:ilvl w:val="0"/>
          <w:numId w:val="1040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5334000" cy="1978225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clipboard-934594306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8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</w:t>
      </w:r>
      <w:r>
        <w:t xml:space="preserve"> </w:t>
      </w:r>
      <w:r>
        <w:t xml:space="preserve">want to test hypotheses about them</w:t>
      </w:r>
    </w:p>
    <w:p>
      <w:pPr>
        <w:pStyle w:val="Compact"/>
        <w:numPr>
          <w:ilvl w:val="0"/>
          <w:numId w:val="1041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41"/>
        </w:numPr>
      </w:pPr>
      <w:r>
        <w:t xml:space="preserve">Partition variance in Y: due to variation in X, due to other things</w:t>
      </w:r>
      <w:r>
        <w:t xml:space="preserve"> </w:t>
      </w:r>
      <w:r>
        <w:t xml:space="preserve">(error)</w:t>
      </w:r>
    </w:p>
    <w:p>
      <w:pPr>
        <w:pStyle w:val="FirstParagraph"/>
      </w:pPr>
      <w:r>
        <w:drawing>
          <wp:inline>
            <wp:extent cx="5334000" cy="1789043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81778718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9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6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 “partitioned” 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3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4"/>
        </w:numPr>
      </w:pPr>
      <w:r>
        <w:t xml:space="preserve">dfs= n-2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5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5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5334000" cy="1789043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clipboard-2817787184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9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 “partitioned” into 3 components: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7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7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8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8"/>
        </w:numPr>
      </w:pPr>
      <w:r>
        <w:t xml:space="preserve">dfs= n-2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9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9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4743450" cy="1551128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clipboard-77063277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1551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 “partitioned” into 3 components: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51"/>
        </w:numPr>
      </w:pPr>
      <w:r>
        <w:t xml:space="preserve">GREATER IN C than D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52"/>
        </w:numPr>
      </w:pPr>
      <w:r>
        <w:t xml:space="preserve">GREATER IN B THAN A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4343400" cy="31201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clipboard-21715154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3120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8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53"/>
        </w:numPr>
      </w:pPr>
      <w:r>
        <w:t xml:space="preserve">Sums of Squares depends on n</w:t>
      </w:r>
    </w:p>
    <w:p>
      <w:pPr>
        <w:pStyle w:val="Compact"/>
        <w:numPr>
          <w:ilvl w:val="0"/>
          <w:numId w:val="1053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5153025" cy="1693751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images/clipboard-2758972276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169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41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54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</w:t>
      </w:r>
      <w:r>
        <w:t xml:space="preserve"> </w:t>
      </w:r>
      <w:r>
        <w:t xml:space="preserve">relationship</w:t>
      </w:r>
    </w:p>
    <w:p>
      <w:pPr>
        <w:pStyle w:val="Compact"/>
        <w:numPr>
          <w:ilvl w:val="0"/>
          <w:numId w:val="1054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4810125" cy="1581043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clipboard-2758972276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1581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3" Target="media/rId73.png" /><Relationship Type="http://schemas.openxmlformats.org/officeDocument/2006/relationships/image" Id="rId78" Target="media/rId78.png" /><Relationship Type="http://schemas.openxmlformats.org/officeDocument/2006/relationships/image" Id="rId84" Target="media/rId84.png" /><Relationship Type="http://schemas.openxmlformats.org/officeDocument/2006/relationships/image" Id="rId100" Target="media/rId100.png" /><Relationship Type="http://schemas.openxmlformats.org/officeDocument/2006/relationships/image" Id="rId105" Target="media/rId105.png" /><Relationship Type="http://schemas.openxmlformats.org/officeDocument/2006/relationships/image" Id="rId112" Target="media/rId112.png" /><Relationship Type="http://schemas.openxmlformats.org/officeDocument/2006/relationships/image" Id="rId23" Target="media/rId23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51" Target="media/rId51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44" Target="media/rId44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95" Target="media/rId95.png" /><Relationship Type="http://schemas.openxmlformats.org/officeDocument/2006/relationships/image" Id="rId89" Target="media/rId89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120" Target="media/rId120.png" /><Relationship Type="http://schemas.openxmlformats.org/officeDocument/2006/relationships/image" Id="rId56" Target="media/rId56.png" /><Relationship Type="http://schemas.openxmlformats.org/officeDocument/2006/relationships/image" Id="rId127" Target="media/rId127.png" /><Relationship Type="http://schemas.openxmlformats.org/officeDocument/2006/relationships/image" Id="rId116" Target="media/rId1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2026-05-04T15:58:17Z</dcterms:created>
  <dcterms:modified xsi:type="dcterms:W3CDTF">2026-05-04T15:58:17Z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